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color w:val="auto"/>
          <w:sz w:val="32"/>
          <w:szCs w:val="32"/>
          <w:highlight w:val="none"/>
        </w:rPr>
      </w:pPr>
      <w:r>
        <w:rPr>
          <w:rFonts w:hint="eastAsia"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margin">
                  <wp:posOffset>40640</wp:posOffset>
                </wp:positionH>
                <wp:positionV relativeFrom="margin">
                  <wp:posOffset>1850390</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6388133" descr="标志"/>
                        <pic:cNvPicPr>
                          <a:picLocks noChangeAspect="1"/>
                        </pic:cNvPicPr>
                        <pic:nvPr/>
                      </pic:nvPicPr>
                      <pic:blipFill>
                        <a:blip r:embed="rId25">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false;mso-position-horizontal-relative:margin;margin-left:3.2pt;mso-position-horizontal:absolute;mso-position-vertical-relative:margin;margin-top:145.7pt;mso-position-vertical:absolute;width:425.3pt;height:425.3pt;mso-wrap-distance-left:9.0pt;mso-wrap-distance-top:0.0pt;mso-wrap-distance-right:9.0pt;mso-wrap-distance-bottom:0.0pt;" stroked="f">
                <v:path textboxrect="0,0,0,0"/>
                <v:imagedata r:id="rId25" o:title=""/>
              </v:shape>
            </w:pict>
          </mc:Fallback>
        </mc:AlternateConten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33" w:hanging="1901"/>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rPr>
        <w:t xml:space="preserve">常州市武进中医医院</w:t>
      </w:r>
      <w:r>
        <w:rPr>
          <w:rFonts w:hint="eastAsia" w:ascii="宋体" w:hAnsi="宋体"/>
          <w:bCs/>
          <w:color w:val="auto"/>
          <w:sz w:val="36"/>
          <w:szCs w:val="36"/>
          <w:highlight w:val="none"/>
          <w:lang w:eastAsia="zh-CN"/>
        </w:rPr>
        <w:t xml:space="preserve">智慧体检系统</w:t>
      </w:r>
      <w:r>
        <w:rPr>
          <w:rFonts w:hint="eastAsia" w:ascii="宋体" w:hAnsi="宋体"/>
          <w:bCs/>
          <w:color w:val="auto"/>
          <w:sz w:val="36"/>
          <w:szCs w:val="36"/>
          <w:highlight w:val="none"/>
        </w:rPr>
        <w:t xml:space="preserve">项目</w:t>
      </w:r>
      <w:r/>
    </w:p>
    <w:p>
      <w:pPr>
        <w:ind w:left="2833" w:hanging="190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项目编号/包号：</w:t>
      </w:r>
      <w:r>
        <w:rPr>
          <w:rFonts w:hint="eastAsia" w:ascii="宋体" w:hAnsi="宋体"/>
          <w:bCs/>
          <w:color w:val="auto"/>
          <w:sz w:val="36"/>
          <w:szCs w:val="36"/>
          <w:highlight w:val="none"/>
        </w:rPr>
        <w:t xml:space="preserve">JSZC-320412-CTZB-G2025-0341</w:t>
      </w:r>
      <w:r/>
    </w:p>
    <w:p>
      <w:pPr>
        <w:ind w:left="2833" w:hanging="1901"/>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rPr>
        <w:t xml:space="preserve">常州市武进中医医院</w:t>
      </w:r>
      <w:r/>
    </w:p>
    <w:p>
      <w:pPr>
        <w:ind w:left="2833" w:hanging="1901"/>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常州市城投建设工程招标有限公司</w:t>
      </w:r>
      <w:r>
        <w:rPr>
          <w:rFonts w:ascii="宋体" w:hAnsi="宋体"/>
          <w:b/>
          <w:color w:val="auto"/>
          <w:sz w:val="72"/>
          <w:highlight w:val="none"/>
        </w:rPr>
        <w:br w:type="page" w:clear="all"/>
      </w:r>
      <w:r/>
    </w:p>
    <w:p>
      <w:pPr>
        <w:jc w:val="center"/>
        <w:spacing w:line="360" w:lineRule="auto"/>
        <w:rPr>
          <w:rFonts w:hint="eastAsia" w:ascii="宋体" w:hAnsi="宋体"/>
          <w:b/>
          <w:color w:val="auto"/>
          <w:sz w:val="36"/>
          <w:szCs w:val="36"/>
          <w:highlight w:val="none"/>
        </w:rPr>
        <w:outlineLvl w:val="0"/>
      </w:pPr>
      <w:r/>
      <w:bookmarkStart w:id="0" w:name="_Toc99301418"/>
      <w:r/>
      <w:r/>
    </w:p>
    <w:p>
      <w:pPr>
        <w:jc w:val="center"/>
        <w:spacing w:line="360" w:lineRule="auto"/>
        <w:rPr>
          <w:rFonts w:ascii="宋体" w:hAnsi="宋体"/>
          <w:b/>
          <w:color w:val="auto"/>
          <w:sz w:val="44"/>
          <w:szCs w:val="44"/>
          <w:highlight w:val="none"/>
        </w:rPr>
        <w:outlineLvl w:val="0"/>
      </w:pPr>
      <w:r>
        <w:rPr>
          <w:rFonts w:ascii="宋体" w:hAnsi="宋体"/>
          <w:b/>
          <w:color w:val="auto"/>
          <w:sz w:val="44"/>
          <w:szCs w:val="44"/>
          <w:highlight w:val="none"/>
        </w:rPr>
        <w:t xml:space="preserve">目      录</w:t>
      </w:r>
      <w:bookmarkEnd w:id="0"/>
      <w:r/>
      <w:r/>
    </w:p>
    <w:p>
      <w:pPr>
        <w:pStyle w:val="1099"/>
        <w:spacing w:line="720" w:lineRule="auto"/>
        <w:rPr>
          <w:b w:val="0"/>
          <w:color w:val="auto"/>
          <w:sz w:val="32"/>
          <w:szCs w:val="32"/>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"_Toc99301419" </w:instrText>
      </w:r>
      <w:r>
        <w:rPr>
          <w:color w:val="auto"/>
          <w:sz w:val="32"/>
          <w:szCs w:val="32"/>
          <w:highlight w:val="none"/>
        </w:rPr>
        <w:fldChar w:fldCharType="separate"/>
      </w:r>
      <w:r>
        <w:rPr>
          <w:rStyle w:val="1122"/>
          <w:color w:val="auto"/>
          <w:sz w:val="32"/>
          <w:szCs w:val="32"/>
          <w:highlight w:val="none"/>
        </w:rPr>
        <w:t xml:space="preserve">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_Toc99301419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"_Toc99301420" </w:instrText>
      </w:r>
      <w:r>
        <w:rPr>
          <w:color w:val="auto"/>
          <w:sz w:val="32"/>
          <w:szCs w:val="32"/>
          <w:highlight w:val="none"/>
        </w:rPr>
        <w:fldChar w:fldCharType="separate"/>
      </w:r>
      <w:r>
        <w:rPr>
          <w:rStyle w:val="1122"/>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_Toc99301420 \h </w:instrText>
      </w:r>
      <w:r>
        <w:rPr>
          <w:color w:val="auto"/>
          <w:sz w:val="32"/>
          <w:szCs w:val="32"/>
          <w:highlight w:val="none"/>
        </w:rPr>
        <w:fldChar w:fldCharType="separate"/>
      </w:r>
      <w:r>
        <w:rPr>
          <w:color w:val="auto"/>
          <w:sz w:val="32"/>
          <w:szCs w:val="32"/>
          <w:highlight w:val="none"/>
        </w:rPr>
        <w:t xml:space="preserve">5</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"_Toc99301421" </w:instrText>
      </w:r>
      <w:r>
        <w:rPr>
          <w:color w:val="auto"/>
          <w:sz w:val="32"/>
          <w:szCs w:val="32"/>
          <w:highlight w:val="none"/>
        </w:rPr>
        <w:fldChar w:fldCharType="separate"/>
      </w:r>
      <w:r>
        <w:rPr>
          <w:rStyle w:val="1122"/>
          <w:color w:val="auto"/>
          <w:sz w:val="32"/>
          <w:szCs w:val="32"/>
          <w:highlight w:val="none"/>
        </w:rPr>
        <w:t xml:space="preserve">第三章   资</w:t>
      </w:r>
      <w:bookmarkStart w:id="1" w:name="_Hlt100754117"/>
      <w:r>
        <w:rPr>
          <w:rStyle w:val="1122"/>
          <w:color w:val="auto"/>
          <w:sz w:val="32"/>
          <w:szCs w:val="32"/>
          <w:highlight w:val="none"/>
        </w:rPr>
        <w:t xml:space="preserve">格</w:t>
      </w:r>
      <w:bookmarkEnd w:id="1"/>
      <w:r>
        <w:rPr>
          <w:rStyle w:val="1122"/>
          <w:color w:val="auto"/>
          <w:sz w:val="32"/>
          <w:szCs w:val="32"/>
          <w:highlight w:val="none"/>
        </w:rPr>
        <w:t xml:space="preserve">审查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_Toc99301421 \h </w:instrText>
      </w:r>
      <w:r>
        <w:rPr>
          <w:color w:val="auto"/>
          <w:sz w:val="32"/>
          <w:szCs w:val="32"/>
          <w:highlight w:val="none"/>
        </w:rPr>
        <w:fldChar w:fldCharType="separate"/>
      </w:r>
      <w:r>
        <w:rPr>
          <w:color w:val="auto"/>
          <w:sz w:val="32"/>
          <w:szCs w:val="32"/>
          <w:highlight w:val="none"/>
        </w:rPr>
        <w:t xml:space="preserve">19</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"_Toc99301423" </w:instrText>
      </w:r>
      <w:r>
        <w:rPr>
          <w:color w:val="auto"/>
          <w:sz w:val="32"/>
          <w:szCs w:val="32"/>
          <w:highlight w:val="none"/>
        </w:rPr>
        <w:fldChar w:fldCharType="separate"/>
      </w:r>
      <w:r>
        <w:rPr>
          <w:rStyle w:val="1122"/>
          <w:color w:val="auto"/>
          <w:sz w:val="32"/>
          <w:szCs w:val="32"/>
          <w:highlight w:val="none"/>
        </w:rPr>
        <w:t xml:space="preserve">第四章   评标程序、评标方法和评</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margin">
                  <wp:posOffset>-31750</wp:posOffset>
                </wp:positionH>
                <wp:positionV relativeFrom="margin">
                  <wp:posOffset>2163445</wp:posOffset>
                </wp:positionV>
                <wp:extent cx="5401310" cy="5401310"/>
                <wp:effectExtent l="0" t="0" r="8890" b="8890"/>
                <wp:wrapNone/>
                <wp:docPr id="3"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6388133" descr="标志"/>
                        <pic:cNvPicPr>
                          <a:picLocks noChangeAspect="1"/>
                        </pic:cNvPicPr>
                        <pic:nvPr/>
                      </pic:nvPicPr>
                      <pic:blipFill>
                        <a:blip r:embed="rId25">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false;mso-position-horizontal-relative:margin;margin-left:-2.5pt;mso-position-horizontal:absolute;mso-position-vertical-relative:margin;margin-top:170.3pt;mso-position-vertical:absolute;width:425.3pt;height:425.3pt;mso-wrap-distance-left:9.0pt;mso-wrap-distance-top:0.0pt;mso-wrap-distance-right:9.0pt;mso-wrap-distance-bottom:0.0pt;" stroked="f">
                <v:path textboxrect="0,0,0,0"/>
                <v:imagedata r:id="rId25" o:title=""/>
              </v:shape>
            </w:pict>
          </mc:Fallback>
        </mc:AlternateContent>
      </w:r>
      <w:r>
        <w:rPr>
          <w:rStyle w:val="1122"/>
          <w:color w:val="auto"/>
          <w:sz w:val="32"/>
          <w:szCs w:val="32"/>
          <w:highlight w:val="none"/>
        </w:rPr>
        <w:t xml:space="preserve">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_Toc99301423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"_Toc99301424" </w:instrText>
      </w:r>
      <w:r>
        <w:rPr>
          <w:color w:val="auto"/>
          <w:sz w:val="32"/>
          <w:szCs w:val="32"/>
          <w:highlight w:val="none"/>
        </w:rPr>
        <w:fldChar w:fldCharType="separate"/>
      </w:r>
      <w:r>
        <w:rPr>
          <w:rStyle w:val="1122"/>
          <w:color w:val="auto"/>
          <w:sz w:val="32"/>
          <w:szCs w:val="32"/>
          <w:highlight w:val="none"/>
        </w:rPr>
        <w:t xml:space="preserve">第五章   采购</w:t>
      </w:r>
      <w:bookmarkStart w:id="2" w:name="_Hlt100754103"/>
      <w:r/>
      <w:bookmarkStart w:id="3" w:name="_Hlt100754102"/>
      <w:r>
        <w:rPr>
          <w:rStyle w:val="1122"/>
          <w:color w:val="auto"/>
          <w:sz w:val="32"/>
          <w:szCs w:val="32"/>
          <w:highlight w:val="none"/>
        </w:rPr>
        <w:t xml:space="preserve">需</w:t>
      </w:r>
      <w:bookmarkEnd w:id="2"/>
      <w:r/>
      <w:bookmarkEnd w:id="3"/>
      <w:r>
        <w:rPr>
          <w:rStyle w:val="1122"/>
          <w:color w:val="auto"/>
          <w:sz w:val="32"/>
          <w:szCs w:val="32"/>
          <w:highlight w:val="none"/>
        </w:rPr>
        <w:t xml:space="preserve">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_Toc99301424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"_Toc99301425" </w:instrText>
      </w:r>
      <w:r>
        <w:rPr>
          <w:color w:val="auto"/>
          <w:sz w:val="32"/>
          <w:szCs w:val="32"/>
          <w:highlight w:val="none"/>
        </w:rPr>
        <w:fldChar w:fldCharType="separate"/>
      </w:r>
      <w:r>
        <w:rPr>
          <w:rStyle w:val="1122"/>
          <w:color w:val="auto"/>
          <w:sz w:val="32"/>
          <w:szCs w:val="32"/>
          <w:highlight w:val="none"/>
        </w:rPr>
        <w:t xml:space="preserve">第六章   拟签订的合同文本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_Toc99301425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"_Toc99301426" </w:instrText>
      </w:r>
      <w:r>
        <w:rPr>
          <w:color w:val="auto"/>
          <w:sz w:val="32"/>
          <w:szCs w:val="32"/>
          <w:highlight w:val="none"/>
        </w:rPr>
        <w:fldChar w:fldCharType="separate"/>
      </w:r>
      <w:r>
        <w:rPr>
          <w:rStyle w:val="1122"/>
          <w:color w:val="auto"/>
          <w:sz w:val="32"/>
          <w:szCs w:val="32"/>
          <w:highlight w:val="none"/>
        </w:rPr>
        <w:t xml:space="preserve">第七章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_Toc99301426 \h </w:instrText>
      </w:r>
      <w:r>
        <w:rPr>
          <w:color w:val="auto"/>
          <w:sz w:val="32"/>
          <w:szCs w:val="32"/>
          <w:highlight w:val="none"/>
        </w:rPr>
        <w:fldChar w:fldCharType="separate"/>
      </w:r>
      <w:r>
        <w:rPr>
          <w:color w:val="auto"/>
          <w:sz w:val="32"/>
          <w:szCs w:val="32"/>
          <w:highlight w:val="none"/>
        </w:rPr>
        <w:t xml:space="preserve">32</w:t>
      </w:r>
      <w:r>
        <w:rPr>
          <w:color w:val="auto"/>
          <w:sz w:val="32"/>
          <w:szCs w:val="32"/>
          <w:highlight w:val="none"/>
        </w:rPr>
        <w:fldChar w:fldCharType="end"/>
      </w:r>
      <w:r>
        <w:rPr>
          <w:color w:val="auto"/>
          <w:sz w:val="32"/>
          <w:szCs w:val="32"/>
          <w:highlight w:val="none"/>
        </w:rPr>
        <w:fldChar w:fldCharType="end"/>
      </w:r>
      <w:r/>
    </w:p>
    <w:p>
      <w:pPr>
        <w:pStyle w:val="1099"/>
        <w:spacing w:line="720" w:lineRule="auto"/>
        <w:rPr>
          <w:b w:val="0"/>
          <w:color w:val="auto"/>
          <w:highlight w:val="none"/>
        </w:rPr>
      </w:pPr>
      <w:r>
        <w:rPr>
          <w:b w:val="0"/>
          <w:color w:val="auto"/>
          <w:sz w:val="32"/>
          <w:szCs w:val="32"/>
          <w:highlight w:val="none"/>
        </w:rPr>
        <w:fldChar w:fldCharType="end"/>
      </w:r>
      <w:r/>
    </w:p>
    <w:p>
      <w:pPr>
        <w:jc w:val="center"/>
        <w:spacing w:line="360" w:lineRule="auto"/>
        <w:rPr>
          <w:rFonts w:ascii="宋体" w:hAnsi="宋体"/>
          <w:b/>
          <w:color w:val="auto"/>
          <w:sz w:val="36"/>
          <w:szCs w:val="36"/>
          <w:highlight w:val="none"/>
        </w:rPr>
        <w:outlineLvl w:val="0"/>
      </w:pPr>
      <w:r>
        <w:rPr>
          <w:rFonts w:ascii="宋体" w:hAnsi="宋体"/>
          <w:color w:val="auto"/>
          <w:sz w:val="24"/>
          <w:highlight w:val="none"/>
        </w:rPr>
        <w:br w:type="page" w:clear="all"/>
      </w:r>
      <w:bookmarkStart w:id="4" w:name="_Toc99301419"/>
      <w:r>
        <w:rPr>
          <w:rFonts w:ascii="宋体" w:hAnsi="宋体"/>
          <w:b/>
          <w:color w:val="auto"/>
          <w:sz w:val="36"/>
          <w:szCs w:val="36"/>
          <w:highlight w:val="none"/>
        </w:rPr>
        <w:t xml:space="preserve">第一章   投标邀请</w:t>
      </w:r>
      <w:bookmarkEnd w:id="4"/>
      <w:r/>
      <w:r/>
    </w:p>
    <w:p>
      <w:pPr>
        <w:ind w:firstLine="640"/>
        <w:spacing w:line="360" w:lineRule="auto"/>
        <w:rPr>
          <w:rFonts w:ascii="仿宋" w:hAnsi="仿宋" w:eastAsia="仿宋"/>
          <w:color w:val="auto"/>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32"/>
          <w:szCs w:val="32"/>
          <w:highlight w:val="none"/>
        </w:rPr>
        <w:t xml:space="preserve">项目概况</w:t>
      </w:r>
      <w:r/>
    </w:p>
    <w:p>
      <w:pPr>
        <w:ind w:firstLine="640"/>
        <w:spacing w:line="360" w:lineRule="auto"/>
        <w:rPr>
          <w:rFonts w:ascii="仿宋" w:hAnsi="仿宋" w:eastAsia="仿宋"/>
          <w:color w:val="auto"/>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32"/>
          <w:szCs w:val="32"/>
          <w:highlight w:val="none"/>
        </w:rPr>
        <w:t xml:space="preserve">常州市武进中医医院</w:t>
      </w:r>
      <w:r>
        <w:rPr>
          <w:rFonts w:hint="eastAsia" w:ascii="仿宋" w:hAnsi="仿宋" w:eastAsia="仿宋" w:cs="宋体"/>
          <w:color w:val="auto"/>
          <w:sz w:val="32"/>
          <w:szCs w:val="32"/>
          <w:highlight w:val="none"/>
          <w:lang w:eastAsia="zh-CN"/>
        </w:rPr>
        <w:t xml:space="preserve">智慧体检系统</w:t>
      </w:r>
      <w:r>
        <w:rPr>
          <w:rFonts w:hint="eastAsia" w:ascii="仿宋" w:hAnsi="仿宋" w:eastAsia="仿宋" w:cs="宋体"/>
          <w:color w:val="auto"/>
          <w:sz w:val="32"/>
          <w:szCs w:val="32"/>
          <w:highlight w:val="none"/>
        </w:rPr>
        <w:t xml:space="preserve">项目</w:t>
      </w:r>
      <w:r>
        <w:rPr>
          <w:rFonts w:hint="eastAsia" w:ascii="仿宋" w:hAnsi="仿宋" w:eastAsia="仿宋"/>
          <w:color w:val="auto"/>
          <w:sz w:val="32"/>
          <w:szCs w:val="32"/>
          <w:highlight w:val="none"/>
        </w:rPr>
        <w:t xml:space="preserve">的潜在投标人应在</w:t>
      </w:r>
      <w:r>
        <w:rPr>
          <w:rFonts w:hint="eastAsia" w:ascii="仿宋" w:hAnsi="仿宋" w:eastAsia="仿宋"/>
          <w:color w:val="auto"/>
          <w:sz w:val="32"/>
          <w:szCs w:val="32"/>
          <w:highlight w:val="none"/>
          <w:lang w:bidi="ar"/>
        </w:rPr>
        <w:t xml:space="preserve">“苏采云”政府采购一体化平台</w:t>
      </w:r>
      <w:r>
        <w:rPr>
          <w:rFonts w:hint="eastAsia" w:ascii="仿宋" w:hAnsi="仿宋" w:eastAsia="仿宋"/>
          <w:color w:val="auto"/>
          <w:sz w:val="32"/>
          <w:szCs w:val="32"/>
          <w:highlight w:val="none"/>
        </w:rPr>
        <w:t xml:space="preserve">获取招标文件，并于</w:t>
      </w:r>
      <w:r>
        <w:rPr>
          <w:rFonts w:hint="eastAsia" w:ascii="仿宋" w:hAnsi="仿宋" w:eastAsia="仿宋"/>
          <w:b/>
          <w:color w:val="auto"/>
          <w:sz w:val="32"/>
          <w:szCs w:val="32"/>
          <w:highlight w:val="none"/>
          <w:lang w:eastAsia="zh-CN"/>
        </w:rPr>
        <w:t xml:space="preserve">202</w:t>
      </w:r>
      <w:r>
        <w:rPr>
          <w:rFonts w:hint="eastAsia" w:ascii="仿宋" w:hAnsi="仿宋" w:eastAsia="仿宋"/>
          <w:b/>
          <w:color w:val="auto"/>
          <w:sz w:val="32"/>
          <w:szCs w:val="32"/>
          <w:highlight w:val="none"/>
          <w:lang w:val="en-US" w:eastAsia="zh-CN"/>
        </w:rPr>
        <w:t xml:space="preserve">6</w:t>
      </w:r>
      <w:r>
        <w:rPr>
          <w:rFonts w:hint="eastAsia" w:ascii="仿宋" w:hAnsi="仿宋" w:eastAsia="仿宋"/>
          <w:b/>
          <w:color w:val="auto"/>
          <w:sz w:val="32"/>
          <w:szCs w:val="32"/>
          <w:highlight w:val="none"/>
          <w:lang w:eastAsia="zh-CN"/>
        </w:rPr>
        <w:t xml:space="preserve">年</w:t>
      </w:r>
      <w:r>
        <w:rPr>
          <w:rFonts w:hint="eastAsia" w:ascii="仿宋" w:hAnsi="仿宋" w:eastAsia="仿宋"/>
          <w:b/>
          <w:color w:val="auto"/>
          <w:sz w:val="32"/>
          <w:szCs w:val="32"/>
          <w:highlight w:val="none"/>
          <w:lang w:val="en-US" w:eastAsia="zh-CN"/>
        </w:rPr>
        <w:t xml:space="preserve">01</w:t>
      </w:r>
      <w:r>
        <w:rPr>
          <w:rFonts w:hint="eastAsia" w:ascii="仿宋" w:hAnsi="仿宋" w:eastAsia="仿宋"/>
          <w:b/>
          <w:color w:val="auto"/>
          <w:sz w:val="32"/>
          <w:szCs w:val="32"/>
          <w:highlight w:val="none"/>
          <w:lang w:eastAsia="zh-CN"/>
        </w:rPr>
        <w:t xml:space="preserve">月</w:t>
      </w:r>
      <w:r>
        <w:rPr>
          <w:rFonts w:hint="eastAsia" w:ascii="仿宋" w:hAnsi="仿宋" w:eastAsia="仿宋"/>
          <w:b/>
          <w:color w:val="auto"/>
          <w:sz w:val="32"/>
          <w:szCs w:val="32"/>
          <w:highlight w:val="none"/>
          <w:lang w:val="en-US" w:eastAsia="zh-CN"/>
        </w:rPr>
        <w:t xml:space="preserve">09</w:t>
      </w:r>
      <w:r>
        <w:rPr>
          <w:rFonts w:hint="eastAsia" w:ascii="仿宋" w:hAnsi="仿宋" w:eastAsia="仿宋"/>
          <w:b/>
          <w:color w:val="auto"/>
          <w:sz w:val="32"/>
          <w:szCs w:val="32"/>
          <w:highlight w:val="none"/>
          <w:lang w:eastAsia="zh-CN"/>
        </w:rPr>
        <w:t xml:space="preserve">日09点30分</w:t>
      </w:r>
      <w:r>
        <w:rPr>
          <w:rFonts w:hint="eastAsia" w:ascii="仿宋" w:hAnsi="仿宋" w:eastAsia="仿宋" w:cs="宋体"/>
          <w:b/>
          <w:bCs/>
          <w:color w:val="auto"/>
          <w:sz w:val="32"/>
          <w:szCs w:val="32"/>
          <w:highlight w:val="none"/>
        </w:rPr>
        <w:t xml:space="preserve">（北京时间）</w:t>
      </w:r>
      <w:r>
        <w:rPr>
          <w:rFonts w:hint="eastAsia" w:ascii="仿宋" w:hAnsi="仿宋" w:eastAsia="仿宋"/>
          <w:bCs/>
          <w:color w:val="auto"/>
          <w:sz w:val="32"/>
          <w:szCs w:val="32"/>
          <w:highlight w:val="none"/>
        </w:rPr>
        <w:t xml:space="preserve">前递交投标</w:t>
      </w:r>
      <w:r>
        <w:rPr>
          <w:rFonts w:ascii="仿宋" w:hAnsi="仿宋" w:eastAsia="仿宋"/>
          <w:bCs/>
          <w:color w:val="auto"/>
          <w:sz w:val="32"/>
          <w:szCs w:val="32"/>
          <w:highlight w:val="none"/>
        </w:rPr>
        <w:t xml:space="preserve">文件</w:t>
      </w:r>
      <w:r>
        <w:rPr>
          <w:rFonts w:hint="eastAsia" w:ascii="仿宋" w:hAnsi="仿宋" w:eastAsia="仿宋"/>
          <w:color w:val="auto"/>
          <w:sz w:val="32"/>
          <w:szCs w:val="32"/>
          <w:highlight w:val="none"/>
        </w:rPr>
        <w:t xml:space="preserve">。</w:t>
      </w:r>
      <w:r/>
    </w:p>
    <w:p>
      <w:pPr>
        <w:pStyle w:val="1049"/>
        <w:ind w:firstLine="643"/>
        <w:jc w:val="left"/>
        <w:spacing w:before="240" w:line="360" w:lineRule="auto"/>
        <w:rPr>
          <w:rFonts w:ascii="仿宋" w:hAnsi="仿宋" w:eastAsia="仿宋"/>
          <w:color w:val="auto"/>
          <w:sz w:val="32"/>
          <w:szCs w:val="32"/>
          <w:highlight w:val="none"/>
        </w:rPr>
      </w:pPr>
      <w:r/>
      <w:bookmarkStart w:id="5" w:name="_Toc28359002"/>
      <w:r/>
      <w:bookmarkStart w:id="6" w:name="_Toc35393790"/>
      <w:r/>
      <w:bookmarkStart w:id="7" w:name="_Toc28359079"/>
      <w:r/>
      <w:bookmarkStart w:id="8" w:name="_Toc35393621"/>
      <w:r/>
      <w:bookmarkStart w:id="9" w:name="_Hlk24379207"/>
      <w:r>
        <w:rPr>
          <w:rFonts w:ascii="仿宋" w:hAnsi="仿宋" w:eastAsia="仿宋"/>
          <w:color w:val="auto"/>
          <w:sz w:val="32"/>
          <w:szCs w:val="32"/>
          <w:highlight w:val="none"/>
        </w:rPr>
        <w:t xml:space="preserve">一、项目基本情况</w:t>
      </w:r>
      <w:bookmarkEnd w:id="5"/>
      <w:r/>
      <w:bookmarkEnd w:id="6"/>
      <w:r/>
      <w:bookmarkEnd w:id="7"/>
      <w:r/>
      <w:bookmarkEnd w:id="8"/>
      <w:r/>
      <w:r/>
    </w:p>
    <w:p>
      <w:pPr>
        <w:ind w:firstLine="640"/>
        <w:spacing w:line="360" w:lineRule="auto"/>
        <w:rPr>
          <w:rFonts w:hint="eastAsia" w:ascii="仿宋" w:hAnsi="仿宋" w:eastAsia="仿宋"/>
          <w:color w:val="auto"/>
          <w:sz w:val="32"/>
          <w:szCs w:val="32"/>
          <w:highlight w:val="none"/>
          <w:lang w:eastAsia="zh-CN"/>
        </w:rPr>
      </w:pPr>
      <w:r>
        <w:rPr>
          <w:rFonts w:ascii="仿宋" w:hAnsi="仿宋" w:eastAsia="仿宋"/>
          <w:color w:val="auto"/>
          <w:sz w:val="32"/>
          <w:szCs w:val="32"/>
          <w:highlight w:val="none"/>
        </w:rPr>
        <w:t xml:space="preserve">1.项目编号/包号：</w:t>
      </w:r>
      <w:r>
        <w:rPr>
          <w:rFonts w:hint="eastAsia" w:ascii="仿宋" w:hAnsi="仿宋" w:eastAsia="仿宋"/>
          <w:color w:val="auto"/>
          <w:sz w:val="32"/>
          <w:szCs w:val="32"/>
          <w:highlight w:val="none"/>
        </w:rPr>
        <w:t xml:space="preserve">JSZC-320412-CTZB-G2025-0341</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2.项目名称：</w:t>
      </w:r>
      <w:r>
        <w:rPr>
          <w:rFonts w:hint="eastAsia" w:ascii="仿宋" w:hAnsi="仿宋" w:eastAsia="仿宋"/>
          <w:color w:val="auto"/>
          <w:sz w:val="32"/>
          <w:szCs w:val="32"/>
          <w:highlight w:val="none"/>
        </w:rPr>
        <w:t xml:space="preserve">常州市武进中医医院</w:t>
      </w:r>
      <w:r>
        <w:rPr>
          <w:rFonts w:hint="eastAsia" w:ascii="仿宋" w:hAnsi="仿宋" w:eastAsia="仿宋"/>
          <w:color w:val="auto"/>
          <w:sz w:val="32"/>
          <w:szCs w:val="32"/>
          <w:highlight w:val="none"/>
          <w:lang w:eastAsia="zh-CN"/>
        </w:rPr>
        <w:t xml:space="preserve">智慧体检系统</w:t>
      </w:r>
      <w:r>
        <w:rPr>
          <w:rFonts w:hint="eastAsia" w:ascii="仿宋" w:hAnsi="仿宋" w:eastAsia="仿宋"/>
          <w:color w:val="auto"/>
          <w:sz w:val="32"/>
          <w:szCs w:val="32"/>
          <w:highlight w:val="none"/>
        </w:rPr>
        <w:t xml:space="preserve">项目</w:t>
      </w:r>
      <w:bookmarkEnd w:id="9"/>
      <w:r/>
      <w:r/>
    </w:p>
    <w:p>
      <w:pPr>
        <w:ind w:firstLine="640"/>
        <w:spacing w:line="360" w:lineRule="auto"/>
        <w:rPr>
          <w:rFonts w:hint="eastAsia" w:ascii="仿宋" w:hAnsi="仿宋" w:eastAsia="仿宋"/>
          <w:color w:val="auto"/>
          <w:sz w:val="32"/>
          <w:szCs w:val="32"/>
          <w:highlight w:val="none"/>
        </w:rPr>
      </w:pPr>
      <w:r>
        <w:rPr>
          <w:rFonts w:ascii="仿宋" w:hAnsi="仿宋" w:eastAsia="仿宋"/>
          <w:color w:val="auto"/>
          <w:sz w:val="32"/>
          <w:szCs w:val="32"/>
          <w:highlight w:val="none"/>
        </w:rPr>
        <w:t xml:space="preserve">3.项目预算金额：</w:t>
      </w:r>
      <w:r>
        <w:rPr>
          <w:rFonts w:hint="eastAsia" w:ascii="仿宋" w:hAnsi="仿宋" w:eastAsia="仿宋"/>
          <w:color w:val="auto"/>
          <w:sz w:val="32"/>
          <w:szCs w:val="32"/>
          <w:highlight w:val="none"/>
          <w:lang w:val="en-US" w:eastAsia="zh-CN"/>
        </w:rPr>
        <w:t xml:space="preserve">70</w:t>
      </w:r>
      <w:r>
        <w:rPr>
          <w:rFonts w:ascii="仿宋" w:hAnsi="仿宋" w:eastAsia="仿宋"/>
          <w:color w:val="auto"/>
          <w:sz w:val="32"/>
          <w:szCs w:val="32"/>
          <w:highlight w:val="none"/>
        </w:rPr>
        <w:t xml:space="preserve">万元</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4.</w:t>
      </w:r>
      <w:r>
        <w:rPr>
          <w:rFonts w:ascii="仿宋" w:hAnsi="仿宋" w:eastAsia="仿宋"/>
          <w:color w:val="auto"/>
          <w:sz w:val="32"/>
          <w:szCs w:val="32"/>
          <w:highlight w:val="none"/>
        </w:rPr>
        <w:t xml:space="preserve">项目最高限价（如有）：</w:t>
      </w:r>
      <w:r>
        <w:rPr>
          <w:rFonts w:hint="eastAsia" w:ascii="仿宋" w:hAnsi="仿宋" w:eastAsia="仿宋"/>
          <w:color w:val="auto"/>
          <w:sz w:val="32"/>
          <w:szCs w:val="32"/>
          <w:highlight w:val="none"/>
          <w:lang w:val="en-US" w:eastAsia="zh-CN"/>
        </w:rPr>
        <w:t xml:space="preserve">70</w:t>
      </w:r>
      <w:r>
        <w:rPr>
          <w:rFonts w:ascii="仿宋" w:hAnsi="仿宋" w:eastAsia="仿宋"/>
          <w:color w:val="auto"/>
          <w:sz w:val="32"/>
          <w:szCs w:val="32"/>
          <w:highlight w:val="none"/>
        </w:rPr>
        <w:t xml:space="preserve">万元</w:t>
      </w:r>
      <w:r/>
    </w:p>
    <w:p>
      <w:pPr>
        <w:ind w:firstLine="640"/>
        <w:spacing w:line="360" w:lineRule="auto"/>
        <w:rPr>
          <w:rFonts w:ascii="仿宋" w:hAnsi="仿宋" w:eastAsia="仿宋" w:cs="宋体"/>
          <w:color w:val="auto"/>
          <w:sz w:val="32"/>
          <w:szCs w:val="32"/>
          <w:highlight w:val="none"/>
        </w:rPr>
      </w:pPr>
      <w:r>
        <w:rPr>
          <w:rFonts w:hint="eastAsia" w:ascii="仿宋" w:hAnsi="仿宋" w:eastAsia="仿宋"/>
          <w:color w:val="auto"/>
          <w:sz w:val="32"/>
          <w:szCs w:val="32"/>
          <w:highlight w:val="none"/>
        </w:rPr>
        <w:t xml:space="preserve">5</w:t>
      </w:r>
      <w:r>
        <w:rPr>
          <w:rFonts w:ascii="仿宋" w:hAnsi="仿宋" w:eastAsia="仿宋"/>
          <w:color w:val="auto"/>
          <w:sz w:val="32"/>
          <w:szCs w:val="32"/>
          <w:highlight w:val="none"/>
        </w:rPr>
        <w:t xml:space="preserve">.采购需求：</w:t>
      </w:r>
      <w:r>
        <w:rPr>
          <w:rFonts w:hint="eastAsia" w:ascii="仿宋" w:hAnsi="仿宋" w:eastAsia="仿宋"/>
          <w:color w:val="auto"/>
          <w:sz w:val="32"/>
          <w:szCs w:val="32"/>
          <w:highlight w:val="none"/>
          <w:lang w:eastAsia="zh-CN"/>
        </w:rPr>
        <w:t xml:space="preserve">智慧体检系统</w:t>
      </w:r>
      <w:r>
        <w:rPr>
          <w:rFonts w:hint="eastAsia" w:ascii="仿宋" w:hAnsi="仿宋" w:eastAsia="仿宋" w:cs="宋体"/>
          <w:color w:val="auto"/>
          <w:sz w:val="32"/>
          <w:szCs w:val="32"/>
          <w:highlight w:val="none"/>
        </w:rPr>
        <w:t xml:space="preserve">项目，详见“采购</w:t>
      </w:r>
      <w:r>
        <w:rPr>
          <w:rFonts w:hint="eastAsia" w:ascii="仿宋" w:hAnsi="仿宋" w:eastAsia="仿宋" w:cs="宋体"/>
          <w:color w:val="auto"/>
          <w:sz w:val="32"/>
          <w:szCs w:val="32"/>
          <w:highlight w:val="none"/>
          <w:lang w:val="en-US" w:eastAsia="zh-CN"/>
        </w:rPr>
        <w:t xml:space="preserve">需求</w:t>
      </w:r>
      <w:r>
        <w:rPr>
          <w:rFonts w:hint="eastAsia" w:ascii="仿宋" w:hAnsi="仿宋" w:eastAsia="仿宋" w:cs="宋体"/>
          <w:color w:val="auto"/>
          <w:sz w:val="32"/>
          <w:szCs w:val="32"/>
          <w:highlight w:val="none"/>
        </w:rPr>
        <w:t xml:space="preserve">”。</w:t>
      </w:r>
      <w:r/>
    </w:p>
    <w:p>
      <w:pPr>
        <w:ind w:firstLine="640"/>
        <w:spacing w:line="360" w:lineRule="auto"/>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6</w:t>
      </w:r>
      <w:r>
        <w:rPr>
          <w:rFonts w:ascii="仿宋" w:hAnsi="仿宋" w:eastAsia="仿宋"/>
          <w:color w:val="auto"/>
          <w:sz w:val="32"/>
          <w:szCs w:val="32"/>
          <w:highlight w:val="none"/>
        </w:rPr>
        <w:t xml:space="preserve">.</w:t>
      </w:r>
      <w:r>
        <w:rPr>
          <w:rFonts w:hint="eastAsia" w:ascii="仿宋" w:hAnsi="仿宋" w:eastAsia="仿宋"/>
          <w:color w:val="auto"/>
          <w:sz w:val="32"/>
          <w:szCs w:val="32"/>
          <w:highlight w:val="none"/>
        </w:rPr>
        <w:t xml:space="preserve">合同履行期限：</w:t>
      </w:r>
      <w:r>
        <w:rPr>
          <w:rFonts w:hint="eastAsia" w:ascii="仿宋" w:hAnsi="仿宋" w:eastAsia="仿宋" w:cs="宋体"/>
          <w:color w:val="auto"/>
          <w:sz w:val="32"/>
          <w:szCs w:val="32"/>
          <w:highlight w:val="none"/>
        </w:rPr>
        <w:t xml:space="preserve">自合同签订后</w:t>
      </w:r>
      <w:r>
        <w:rPr>
          <w:rFonts w:hint="eastAsia" w:ascii="仿宋" w:hAnsi="仿宋" w:eastAsia="仿宋" w:cs="宋体"/>
          <w:color w:val="auto"/>
          <w:sz w:val="32"/>
          <w:szCs w:val="32"/>
          <w:highlight w:val="none"/>
          <w:lang w:val="en-US" w:eastAsia="zh-CN"/>
        </w:rPr>
        <w:t xml:space="preserve">90</w:t>
      </w:r>
      <w:r>
        <w:rPr>
          <w:rFonts w:hint="eastAsia" w:ascii="仿宋" w:hAnsi="仿宋" w:eastAsia="仿宋" w:cs="宋体"/>
          <w:color w:val="auto"/>
          <w:sz w:val="32"/>
          <w:szCs w:val="32"/>
          <w:highlight w:val="none"/>
        </w:rPr>
        <w:t xml:space="preserve">天内完成</w:t>
      </w:r>
      <w:r>
        <w:rPr>
          <w:rFonts w:ascii="仿宋" w:hAnsi="仿宋" w:eastAsia="仿宋" w:cs="宋体"/>
          <w:color w:val="auto"/>
          <w:sz w:val="32"/>
          <w:szCs w:val="32"/>
          <w:highlight w:val="none"/>
        </w:rPr>
        <w:t xml:space="preserve">系统部署并交付</w:t>
      </w:r>
      <w:r>
        <w:rPr>
          <w:rFonts w:hint="eastAsia" w:ascii="仿宋" w:hAnsi="仿宋" w:eastAsia="仿宋" w:cs="宋体"/>
          <w:color w:val="auto"/>
          <w:sz w:val="32"/>
          <w:szCs w:val="32"/>
          <w:highlight w:val="none"/>
        </w:rPr>
        <w:t xml:space="preserve">。如在规定的时间内由于供应商的原因不能交付的，供应商应承担由此给采购人造成的损失。</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7</w:t>
      </w:r>
      <w:r>
        <w:rPr>
          <w:rFonts w:ascii="仿宋" w:hAnsi="仿宋" w:eastAsia="仿宋"/>
          <w:color w:val="auto"/>
          <w:sz w:val="32"/>
          <w:szCs w:val="32"/>
          <w:highlight w:val="none"/>
        </w:rPr>
        <w:t xml:space="preserve">.本项目是否接受联合体投标：□是  ■否。</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8.</w:t>
      </w:r>
      <w:r>
        <w:rPr>
          <w:rFonts w:ascii="仿宋" w:hAnsi="仿宋" w:eastAsia="仿宋"/>
          <w:color w:val="auto"/>
          <w:sz w:val="32"/>
          <w:szCs w:val="32"/>
          <w:highlight w:val="none"/>
        </w:rPr>
        <w:t xml:space="preserve">本项目是否接受</w:t>
      </w:r>
      <w:r>
        <w:rPr>
          <w:rFonts w:hint="eastAsia" w:ascii="仿宋" w:hAnsi="仿宋" w:eastAsia="仿宋"/>
          <w:color w:val="auto"/>
          <w:sz w:val="32"/>
          <w:szCs w:val="32"/>
          <w:highlight w:val="none"/>
        </w:rPr>
        <w:t xml:space="preserve">进口产品</w:t>
      </w:r>
      <w:r>
        <w:rPr>
          <w:rFonts w:ascii="仿宋" w:hAnsi="仿宋" w:eastAsia="仿宋"/>
          <w:color w:val="auto"/>
          <w:sz w:val="32"/>
          <w:szCs w:val="32"/>
          <w:highlight w:val="none"/>
        </w:rPr>
        <w:t xml:space="preserve">投标：□是  ■否。</w:t>
      </w:r>
      <w:r/>
    </w:p>
    <w:p>
      <w:pPr>
        <w:pStyle w:val="1049"/>
        <w:ind w:firstLine="643"/>
        <w:jc w:val="left"/>
        <w:spacing w:before="0" w:line="360" w:lineRule="auto"/>
        <w:rPr>
          <w:rFonts w:ascii="仿宋" w:hAnsi="仿宋" w:eastAsia="仿宋"/>
          <w:color w:val="auto"/>
          <w:sz w:val="32"/>
          <w:szCs w:val="32"/>
          <w:highlight w:val="none"/>
        </w:rPr>
      </w:pPr>
      <w:r/>
      <w:bookmarkStart w:id="10" w:name="_Toc28359003"/>
      <w:r/>
      <w:bookmarkStart w:id="11" w:name="_Toc28359080"/>
      <w:r/>
      <w:bookmarkStart w:id="12" w:name="_Toc35393622"/>
      <w:r/>
      <w:bookmarkStart w:id="13" w:name="_Toc35393791"/>
      <w:r>
        <w:rPr>
          <w:rFonts w:ascii="仿宋" w:hAnsi="仿宋" w:eastAsia="仿宋"/>
          <w:color w:val="auto"/>
          <w:sz w:val="32"/>
          <w:szCs w:val="32"/>
          <w:highlight w:val="none"/>
        </w:rPr>
        <w:t xml:space="preserve">二、申请人的资格要求（须同时满足）</w:t>
      </w:r>
      <w:bookmarkEnd w:id="10"/>
      <w:r/>
      <w:bookmarkEnd w:id="11"/>
      <w:r/>
      <w:bookmarkEnd w:id="12"/>
      <w:r/>
      <w:bookmarkEnd w:id="13"/>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1.满足《中华人民共和国政府采购法》第二十二条规定</w:t>
      </w:r>
      <w:r>
        <w:rPr>
          <w:rFonts w:hint="eastAsia" w:ascii="仿宋" w:hAnsi="仿宋" w:eastAsia="仿宋"/>
          <w:color w:val="auto"/>
          <w:sz w:val="32"/>
          <w:szCs w:val="32"/>
          <w:highlight w:val="none"/>
        </w:rPr>
        <w:t xml:space="preserve">以及下列情形：</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olor w:val="auto"/>
          <w:sz w:val="32"/>
          <w:szCs w:val="32"/>
          <w:highlight w:val="none"/>
        </w:rPr>
      </w:pPr>
      <w:r/>
      <w:bookmarkStart w:id="14" w:name="_Toc28359081"/>
      <w:r/>
      <w:bookmarkStart w:id="15" w:name="_Toc28359004"/>
      <w:r>
        <w:rPr>
          <w:rFonts w:ascii="仿宋" w:hAnsi="仿宋" w:eastAsia="仿宋"/>
          <w:color w:val="auto"/>
          <w:sz w:val="32"/>
          <w:szCs w:val="32"/>
          <w:highlight w:val="none"/>
        </w:rPr>
        <w:t xml:space="preserve">2.落实政府采购政策需满足的资格要求：</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2.1 中小企业政策</w:t>
      </w:r>
      <w:r/>
    </w:p>
    <w:p>
      <w:pPr>
        <w:ind w:firstLine="640"/>
        <w:spacing w:line="360" w:lineRule="auto"/>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本项目不专门面向中小企业预留采购份额。</w:t>
      </w:r>
      <w:r/>
    </w:p>
    <w:p>
      <w:pPr>
        <w:ind w:firstLine="640"/>
        <w:spacing w:line="360" w:lineRule="auto"/>
        <w:rPr>
          <w:rFonts w:ascii="仿宋" w:hAnsi="仿宋" w:eastAsia="仿宋"/>
          <w:b/>
          <w:color w:val="auto"/>
          <w:sz w:val="32"/>
          <w:szCs w:val="32"/>
          <w:highlight w:val="none"/>
        </w:rPr>
      </w:pPr>
      <w:r>
        <w:rPr>
          <w:rFonts w:ascii="仿宋" w:hAnsi="仿宋" w:eastAsia="仿宋"/>
          <w:color w:val="auto"/>
          <w:sz w:val="32"/>
          <w:szCs w:val="32"/>
          <w:highlight w:val="none"/>
        </w:rPr>
        <w:t xml:space="preserve">□本项目专门面向  □中小 □小微企业  采购。即：</w:t>
      </w:r>
      <w:r>
        <w:rPr>
          <w:rFonts w:ascii="仿宋" w:hAnsi="仿宋" w:eastAsia="仿宋"/>
          <w:b/>
          <w:color w:val="auto"/>
          <w:sz w:val="32"/>
          <w:szCs w:val="32"/>
          <w:highlight w:val="none"/>
        </w:rPr>
        <w:t xml:space="preserve">提供的货物全部由符合政策要求的中小/小微企业制造</w:t>
      </w:r>
      <w:r>
        <w:rPr>
          <w:rFonts w:hint="eastAsia" w:ascii="仿宋" w:hAnsi="仿宋" w:eastAsia="仿宋"/>
          <w:b/>
          <w:color w:val="auto"/>
          <w:sz w:val="32"/>
          <w:szCs w:val="32"/>
          <w:highlight w:val="none"/>
        </w:rPr>
        <w:t xml:space="preserve">。</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□本项目预留部分采购项目预算专门面向中小企业采购。</w:t>
      </w:r>
      <w:r>
        <w:rPr>
          <w:rFonts w:ascii="仿宋" w:hAnsi="仿宋" w:eastAsia="仿宋"/>
          <w:b/>
          <w:color w:val="auto"/>
          <w:sz w:val="32"/>
          <w:szCs w:val="32"/>
          <w:highlight w:val="none"/>
        </w:rPr>
        <w:t xml:space="preserve">对于预留份额，提供的货物由符合政策要求的中小企业制造、服务由符合政策要求的中小企业承接。</w:t>
      </w:r>
      <w:r>
        <w:rPr>
          <w:rFonts w:ascii="仿宋" w:hAnsi="仿宋" w:eastAsia="仿宋"/>
          <w:color w:val="auto"/>
          <w:sz w:val="32"/>
          <w:szCs w:val="32"/>
          <w:highlight w:val="none"/>
        </w:rPr>
        <w:t xml:space="preserve">预留份额通过以下措施进行：</w:t>
      </w:r>
      <w:r>
        <w:rPr>
          <w:rFonts w:hint="eastAsia" w:ascii="仿宋" w:hAnsi="仿宋" w:eastAsia="仿宋"/>
          <w:b/>
          <w:color w:val="auto"/>
          <w:sz w:val="32"/>
          <w:szCs w:val="32"/>
          <w:highlight w:val="none"/>
        </w:rPr>
        <w:t xml:space="preserve">获得采购合同的投标人应承诺将采购项目中不低于40%的金额分包给一家或多家中小企业。</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2.2 其它落实政府采购政策的资格要求（如有）：</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r/>
    </w:p>
    <w:p>
      <w:pPr>
        <w:ind w:firstLine="640"/>
        <w:spacing w:line="360" w:lineRule="auto"/>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3.1本项目是否接受分支机构参与投标：□是   </w:t>
      </w: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90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3.2本项目是否属于政府购买服务：</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rPr>
          <w:rFonts w:ascii="仿宋" w:hAnsi="仿宋" w:eastAsia="仿宋"/>
          <w:color w:val="auto"/>
          <w:sz w:val="32"/>
          <w:szCs w:val="32"/>
          <w:highlight w:val="none"/>
        </w:rPr>
        <w:t xml:space="preserve">否</w:t>
      </w:r>
      <w:r/>
    </w:p>
    <w:p>
      <w:pPr>
        <w:ind w:firstLine="640"/>
        <w:spacing w:line="360" w:lineRule="auto"/>
        <w:tabs>
          <w:tab w:val="left" w:pos="0" w:leader="none"/>
          <w:tab w:val="left" w:pos="1134" w:leader="none"/>
          <w:tab w:val="left" w:pos="1589" w:leader="none"/>
          <w:tab w:val="left" w:pos="5521" w:leader="none"/>
        </w:tabs>
        <w:rPr>
          <w:rFonts w:ascii="仿宋" w:hAnsi="仿宋" w:eastAsia="仿宋"/>
          <w:color w:val="auto"/>
          <w:sz w:val="32"/>
          <w:szCs w:val="32"/>
          <w:highlight w:val="none"/>
        </w:rPr>
      </w:pPr>
      <w:r>
        <w:rPr>
          <w:rFonts w:ascii="仿宋" w:hAnsi="仿宋" w:eastAsia="仿宋"/>
          <w:color w:val="auto"/>
          <w:sz w:val="32"/>
          <w:szCs w:val="32"/>
          <w:highlight w:val="none"/>
        </w:rPr>
        <w:t xml:space="preserve">□是，公益一类事业单位、使用事业编制且由财政拨款保障的群团组织，不得作为承接主体；</w:t>
      </w:r>
      <w:r/>
    </w:p>
    <w:p>
      <w:pPr>
        <w:ind w:firstLine="640"/>
        <w:spacing w:line="360" w:lineRule="auto"/>
        <w:tabs>
          <w:tab w:val="left" w:pos="900" w:leader="none"/>
          <w:tab w:val="left" w:pos="1134" w:leader="none"/>
          <w:tab w:val="left" w:pos="1589" w:leader="none"/>
          <w:tab w:val="left" w:pos="5521" w:leader="none"/>
        </w:tabs>
        <w:rPr>
          <w:rFonts w:ascii="仿宋" w:hAnsi="仿宋" w:eastAsia="仿宋"/>
          <w:i/>
          <w:iCs/>
          <w:color w:val="auto"/>
          <w:sz w:val="32"/>
          <w:szCs w:val="32"/>
          <w:highlight w:val="none"/>
          <w:u w:val="single"/>
        </w:rPr>
      </w:pPr>
      <w:r>
        <w:rPr>
          <w:rFonts w:ascii="仿宋" w:hAnsi="仿宋" w:eastAsia="仿宋"/>
          <w:color w:val="auto"/>
          <w:sz w:val="32"/>
          <w:szCs w:val="32"/>
          <w:highlight w:val="none"/>
        </w:rPr>
        <w:t xml:space="preserve">3.3其他特定资格要求：</w:t>
      </w:r>
      <w:r>
        <w:rPr>
          <w:rFonts w:hint="eastAsia" w:ascii="仿宋" w:hAnsi="仿宋" w:eastAsia="仿宋"/>
          <w:color w:val="auto"/>
          <w:sz w:val="32"/>
          <w:szCs w:val="32"/>
          <w:highlight w:val="none"/>
          <w:u w:val="single"/>
        </w:rPr>
        <w:t xml:space="preserve">/</w:t>
      </w:r>
      <w:r>
        <w:rPr>
          <w:rFonts w:hint="eastAsia" w:ascii="仿宋" w:hAnsi="仿宋" w:eastAsia="仿宋"/>
          <w:color w:val="auto"/>
          <w:sz w:val="32"/>
          <w:szCs w:val="32"/>
          <w:highlight w:val="none"/>
        </w:rPr>
        <w:t xml:space="preserve">。</w:t>
      </w:r>
      <w:bookmarkEnd w:id="14"/>
      <w:r/>
      <w:bookmarkEnd w:id="15"/>
      <w:r/>
      <w:r/>
    </w:p>
    <w:p>
      <w:pPr>
        <w:pStyle w:val="1049"/>
        <w:ind w:firstLine="643"/>
        <w:jc w:val="left"/>
        <w:spacing w:before="0" w:line="360" w:lineRule="auto"/>
        <w:widowControl/>
        <w:rPr>
          <w:rFonts w:ascii="仿宋" w:hAnsi="仿宋" w:eastAsia="仿宋"/>
          <w:color w:val="auto"/>
          <w:sz w:val="32"/>
          <w:szCs w:val="32"/>
          <w:highlight w:val="none"/>
        </w:rPr>
      </w:pPr>
      <w:r/>
      <w:bookmarkStart w:id="16" w:name="_Toc35393623"/>
      <w:r/>
      <w:bookmarkStart w:id="17" w:name="_Toc35393792"/>
      <w:r>
        <w:rPr>
          <w:rFonts w:ascii="仿宋" w:hAnsi="仿宋" w:eastAsia="仿宋"/>
          <w:color w:val="auto"/>
          <w:sz w:val="32"/>
          <w:szCs w:val="32"/>
          <w:highlight w:val="none"/>
        </w:rPr>
        <w:t xml:space="preserve">三、获取招标文件</w:t>
      </w:r>
      <w:bookmarkEnd w:id="16"/>
      <w:r/>
      <w:bookmarkEnd w:id="17"/>
      <w:r/>
      <w:r/>
    </w:p>
    <w:p>
      <w:pPr>
        <w:ind w:firstLine="640"/>
        <w:spacing w:line="360" w:lineRule="auto"/>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1.时间：</w:t>
      </w:r>
      <w:r>
        <w:rPr>
          <w:rFonts w:hint="eastAsia" w:ascii="仿宋" w:hAnsi="仿宋" w:eastAsia="仿宋"/>
          <w:color w:val="auto"/>
          <w:sz w:val="32"/>
          <w:szCs w:val="32"/>
          <w:highlight w:val="none"/>
          <w:lang w:bidi="ar"/>
        </w:rPr>
        <w:t xml:space="preserve">2</w:t>
      </w:r>
      <w:r>
        <w:rPr>
          <w:rFonts w:ascii="仿宋" w:hAnsi="仿宋" w:eastAsia="仿宋"/>
          <w:color w:val="auto"/>
          <w:sz w:val="32"/>
          <w:szCs w:val="32"/>
          <w:highlight w:val="none"/>
          <w:lang w:bidi="ar"/>
        </w:rPr>
        <w:t xml:space="preserve">025</w:t>
      </w:r>
      <w:r>
        <w:rPr>
          <w:rFonts w:hint="eastAsia" w:ascii="仿宋" w:hAnsi="仿宋" w:eastAsia="仿宋" w:cs="宋体"/>
          <w:color w:val="auto"/>
          <w:sz w:val="32"/>
          <w:szCs w:val="32"/>
          <w:highlight w:val="none"/>
        </w:rPr>
        <w:t xml:space="preserve">年</w:t>
      </w:r>
      <w:r>
        <w:rPr>
          <w:rFonts w:hint="eastAsia" w:ascii="仿宋" w:hAnsi="仿宋" w:eastAsia="仿宋" w:cs="宋体"/>
          <w:color w:val="auto"/>
          <w:sz w:val="32"/>
          <w:szCs w:val="32"/>
          <w:highlight w:val="none"/>
          <w:lang w:val="en-US" w:eastAsia="zh-CN"/>
        </w:rPr>
        <w:t xml:space="preserve">12</w:t>
      </w:r>
      <w:r>
        <w:rPr>
          <w:rFonts w:hint="eastAsia" w:ascii="仿宋" w:hAnsi="仿宋" w:eastAsia="仿宋" w:cs="宋体"/>
          <w:color w:val="auto"/>
          <w:sz w:val="32"/>
          <w:szCs w:val="32"/>
          <w:highlight w:val="none"/>
        </w:rPr>
        <w:t xml:space="preserve">月</w:t>
      </w:r>
      <w:r>
        <w:rPr>
          <w:rFonts w:hint="eastAsia" w:ascii="仿宋" w:hAnsi="仿宋" w:eastAsia="仿宋" w:cs="宋体"/>
          <w:color w:val="auto"/>
          <w:sz w:val="32"/>
          <w:szCs w:val="32"/>
          <w:highlight w:val="none"/>
          <w:lang w:val="en-US" w:eastAsia="zh-CN"/>
        </w:rPr>
        <w:t xml:space="preserve">19</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至2</w:t>
      </w:r>
      <w:r>
        <w:rPr>
          <w:rFonts w:ascii="仿宋" w:hAnsi="仿宋" w:eastAsia="仿宋"/>
          <w:color w:val="auto"/>
          <w:sz w:val="32"/>
          <w:szCs w:val="32"/>
          <w:highlight w:val="none"/>
          <w:lang w:bidi="ar"/>
        </w:rPr>
        <w:t xml:space="preserve">025</w:t>
      </w:r>
      <w:r>
        <w:rPr>
          <w:rFonts w:hint="eastAsia" w:ascii="仿宋" w:hAnsi="仿宋" w:eastAsia="仿宋" w:cs="宋体"/>
          <w:color w:val="auto"/>
          <w:sz w:val="32"/>
          <w:szCs w:val="32"/>
          <w:highlight w:val="none"/>
        </w:rPr>
        <w:t xml:space="preserve">年12月</w:t>
      </w:r>
      <w:r>
        <w:rPr>
          <w:rFonts w:hint="eastAsia" w:ascii="仿宋" w:hAnsi="仿宋" w:eastAsia="仿宋" w:cs="宋体"/>
          <w:color w:val="auto"/>
          <w:sz w:val="32"/>
          <w:szCs w:val="32"/>
          <w:highlight w:val="none"/>
          <w:lang w:val="en-US" w:eastAsia="zh-CN"/>
        </w:rPr>
        <w:t xml:space="preserve">26</w:t>
      </w:r>
      <w:r>
        <w:rPr>
          <w:rFonts w:hint="eastAsia" w:ascii="仿宋" w:hAnsi="仿宋" w:eastAsia="仿宋" w:cs="宋体"/>
          <w:color w:val="auto"/>
          <w:sz w:val="32"/>
          <w:szCs w:val="32"/>
          <w:highlight w:val="none"/>
        </w:rPr>
        <w:t xml:space="preserve">日</w:t>
      </w:r>
      <w:r>
        <w:rPr>
          <w:rFonts w:hint="eastAsia" w:ascii="仿宋" w:hAnsi="仿宋" w:eastAsia="仿宋"/>
          <w:color w:val="auto"/>
          <w:sz w:val="32"/>
          <w:szCs w:val="32"/>
          <w:highlight w:val="none"/>
          <w:lang w:bidi="ar"/>
        </w:rPr>
        <w:t xml:space="preserve">（北京时间）。</w:t>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2.地点：</w:t>
      </w:r>
      <w:r>
        <w:rPr>
          <w:rFonts w:hint="eastAsia" w:ascii="仿宋" w:hAnsi="仿宋" w:eastAsia="仿宋"/>
          <w:color w:val="auto"/>
          <w:sz w:val="32"/>
          <w:szCs w:val="32"/>
          <w:highlight w:val="none"/>
          <w:lang w:bidi="ar"/>
        </w:rPr>
        <w:t xml:space="preserve">“苏采云”政府采购一体化平台。</w:t>
      </w:r>
      <w:r/>
    </w:p>
    <w:p>
      <w:pPr>
        <w:ind w:firstLine="640"/>
        <w:jc w:val="left"/>
        <w:spacing w:line="360" w:lineRule="auto"/>
        <w:widowControl/>
        <w:rPr>
          <w:rFonts w:ascii="仿宋" w:hAnsi="仿宋" w:eastAsia="仿宋"/>
          <w:color w:val="auto"/>
          <w:sz w:val="32"/>
          <w:szCs w:val="32"/>
          <w:highlight w:val="none"/>
          <w:lang w:bidi="ar"/>
        </w:rPr>
      </w:pPr>
      <w:r>
        <w:rPr>
          <w:rFonts w:ascii="仿宋" w:hAnsi="仿宋" w:eastAsia="仿宋"/>
          <w:color w:val="auto"/>
          <w:sz w:val="32"/>
          <w:szCs w:val="32"/>
          <w:highlight w:val="none"/>
          <w:lang w:bidi="ar"/>
        </w:rPr>
        <w:t xml:space="preserve">3.方式：</w:t>
      </w:r>
      <w:r>
        <w:rPr>
          <w:rFonts w:hint="eastAsia" w:ascii="仿宋" w:hAnsi="仿宋" w:eastAsia="仿宋"/>
          <w:color w:val="auto"/>
          <w:sz w:val="32"/>
          <w:szCs w:val="32"/>
          <w:highlight w:val="none"/>
          <w:lang w:bidi="ar"/>
        </w:rPr>
        <w:t xml:space="preserve">“苏采云”政府采购一体化平台自行免费下载</w:t>
      </w:r>
      <w:r>
        <w:rPr>
          <w:rFonts w:ascii="Calibri" w:hAnsi="Calibri" w:eastAsia="仿宋" w:cs="Calibri"/>
          <w:color w:val="auto"/>
          <w:sz w:val="32"/>
          <w:szCs w:val="32"/>
          <w:highlight w:val="none"/>
          <w:lang w:bidi="ar"/>
        </w:rPr>
        <w:t xml:space="preserve"> </w:t>
      </w:r>
      <w:r>
        <w:rPr>
          <w:rFonts w:hint="eastAsia" w:ascii="Calibri" w:hAnsi="Calibri" w:eastAsia="仿宋" w:cs="Calibri"/>
          <w:color w:val="auto"/>
          <w:sz w:val="32"/>
          <w:szCs w:val="32"/>
          <w:highlight w:val="none"/>
          <w:lang w:bidi="ar"/>
        </w:rPr>
        <w:t xml:space="preserve">。</w:t>
      </w:r>
      <w:r/>
    </w:p>
    <w:p>
      <w:pPr>
        <w:ind w:firstLine="640"/>
        <w:jc w:val="left"/>
        <w:spacing w:line="360" w:lineRule="auto"/>
        <w:widowControl/>
        <w:rPr>
          <w:rFonts w:ascii="仿宋" w:hAnsi="仿宋" w:eastAsia="仿宋"/>
          <w:color w:val="auto"/>
          <w:sz w:val="32"/>
          <w:szCs w:val="32"/>
          <w:highlight w:val="none"/>
        </w:rPr>
      </w:pPr>
      <w:r>
        <w:rPr>
          <w:rFonts w:ascii="仿宋" w:hAnsi="仿宋" w:eastAsia="仿宋"/>
          <w:color w:val="auto"/>
          <w:sz w:val="32"/>
          <w:szCs w:val="32"/>
          <w:highlight w:val="none"/>
          <w:lang w:bidi="ar"/>
        </w:rPr>
        <w:t xml:space="preserve">4.售价：</w:t>
      </w:r>
      <w:r>
        <w:rPr>
          <w:rFonts w:hint="eastAsia" w:ascii="仿宋" w:hAnsi="仿宋" w:eastAsia="仿宋"/>
          <w:color w:val="auto"/>
          <w:sz w:val="32"/>
          <w:szCs w:val="32"/>
          <w:highlight w:val="none"/>
          <w:lang w:bidi="ar"/>
        </w:rPr>
        <w:t xml:space="preserve">0元</w:t>
      </w:r>
      <w:r>
        <w:rPr>
          <w:rFonts w:ascii="仿宋" w:hAnsi="仿宋" w:eastAsia="仿宋"/>
          <w:color w:val="auto"/>
          <w:sz w:val="32"/>
          <w:szCs w:val="32"/>
          <w:highlight w:val="none"/>
          <w:lang w:bidi="ar"/>
        </w:rPr>
        <w:t xml:space="preserve">。</w:t>
      </w:r>
      <w:r/>
    </w:p>
    <w:p>
      <w:pPr>
        <w:pStyle w:val="1049"/>
        <w:ind w:firstLine="643"/>
        <w:jc w:val="left"/>
        <w:spacing w:before="0" w:line="360" w:lineRule="auto"/>
        <w:widowControl/>
        <w:rPr>
          <w:rFonts w:ascii="仿宋" w:hAnsi="仿宋" w:eastAsia="仿宋"/>
          <w:color w:val="auto"/>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auto"/>
          <w:sz w:val="32"/>
          <w:szCs w:val="32"/>
          <w:highlight w:val="none"/>
        </w:rPr>
        <w:t xml:space="preserve">四、提交投标文件</w:t>
      </w:r>
      <w:bookmarkEnd w:id="18"/>
      <w:r/>
      <w:bookmarkEnd w:id="19"/>
      <w:r>
        <w:rPr>
          <w:rFonts w:ascii="仿宋" w:hAnsi="仿宋" w:eastAsia="仿宋"/>
          <w:color w:val="auto"/>
          <w:sz w:val="32"/>
          <w:szCs w:val="32"/>
          <w:highlight w:val="none"/>
        </w:rPr>
        <w:t xml:space="preserve">截止时间、开标时间和地点</w:t>
      </w:r>
      <w:bookmarkEnd w:id="20"/>
      <w:r/>
      <w:bookmarkEnd w:id="21"/>
      <w:r/>
      <w:r/>
    </w:p>
    <w:p>
      <w:pPr>
        <w:ind w:firstLine="640"/>
        <w:spacing w:line="360" w:lineRule="auto"/>
        <w:rPr>
          <w:rFonts w:ascii="仿宋" w:hAnsi="仿宋" w:eastAsia="仿宋"/>
          <w:bCs/>
          <w:color w:val="auto"/>
          <w:sz w:val="32"/>
          <w:szCs w:val="32"/>
          <w:highlight w:val="none"/>
          <w:u w:val="single"/>
        </w:rPr>
      </w:pPr>
      <w:r>
        <w:rPr>
          <w:rFonts w:ascii="仿宋" w:hAnsi="仿宋" w:eastAsia="仿宋"/>
          <w:color w:val="auto"/>
          <w:sz w:val="32"/>
          <w:szCs w:val="32"/>
          <w:highlight w:val="none"/>
          <w:lang w:bidi="ar"/>
        </w:rPr>
        <w:t xml:space="preserve">投标截止时间、开标时间：</w:t>
      </w:r>
      <w:r>
        <w:rPr>
          <w:rFonts w:hint="eastAsia" w:ascii="仿宋" w:hAnsi="仿宋" w:eastAsia="仿宋"/>
          <w:color w:val="auto"/>
          <w:sz w:val="32"/>
          <w:szCs w:val="32"/>
          <w:highlight w:val="none"/>
          <w:lang w:eastAsia="zh-CN" w:bidi="ar"/>
        </w:rPr>
        <w:t xml:space="preserve">202</w:t>
      </w:r>
      <w:r>
        <w:rPr>
          <w:rFonts w:hint="eastAsia" w:ascii="仿宋" w:hAnsi="仿宋" w:eastAsia="仿宋"/>
          <w:color w:val="auto"/>
          <w:sz w:val="32"/>
          <w:szCs w:val="32"/>
          <w:highlight w:val="none"/>
          <w:lang w:val="en-US" w:eastAsia="zh-CN" w:bidi="ar"/>
        </w:rPr>
        <w:t xml:space="preserve">6</w:t>
      </w:r>
      <w:r>
        <w:rPr>
          <w:rFonts w:hint="eastAsia" w:ascii="仿宋" w:hAnsi="仿宋" w:eastAsia="仿宋"/>
          <w:color w:val="auto"/>
          <w:sz w:val="32"/>
          <w:szCs w:val="32"/>
          <w:highlight w:val="none"/>
          <w:lang w:eastAsia="zh-CN" w:bidi="ar"/>
        </w:rPr>
        <w:t xml:space="preserve">年</w:t>
      </w:r>
      <w:r>
        <w:rPr>
          <w:rFonts w:hint="eastAsia" w:ascii="仿宋" w:hAnsi="仿宋" w:eastAsia="仿宋"/>
          <w:color w:val="auto"/>
          <w:sz w:val="32"/>
          <w:szCs w:val="32"/>
          <w:highlight w:val="none"/>
          <w:lang w:val="en-US" w:eastAsia="zh-CN" w:bidi="ar"/>
        </w:rPr>
        <w:t xml:space="preserve">01</w:t>
      </w:r>
      <w:r>
        <w:rPr>
          <w:rFonts w:hint="eastAsia" w:ascii="仿宋" w:hAnsi="仿宋" w:eastAsia="仿宋"/>
          <w:color w:val="auto"/>
          <w:sz w:val="32"/>
          <w:szCs w:val="32"/>
          <w:highlight w:val="none"/>
          <w:lang w:eastAsia="zh-CN" w:bidi="ar"/>
        </w:rPr>
        <w:t xml:space="preserve">月</w:t>
      </w:r>
      <w:r>
        <w:rPr>
          <w:rFonts w:hint="eastAsia" w:ascii="仿宋" w:hAnsi="仿宋" w:eastAsia="仿宋"/>
          <w:color w:val="auto"/>
          <w:sz w:val="32"/>
          <w:szCs w:val="32"/>
          <w:highlight w:val="none"/>
          <w:lang w:val="en-US" w:eastAsia="zh-CN" w:bidi="ar"/>
        </w:rPr>
        <w:t xml:space="preserve">09</w:t>
      </w:r>
      <w:r>
        <w:rPr>
          <w:rFonts w:hint="eastAsia" w:ascii="仿宋" w:hAnsi="仿宋" w:eastAsia="仿宋"/>
          <w:color w:val="auto"/>
          <w:sz w:val="32"/>
          <w:szCs w:val="32"/>
          <w:highlight w:val="none"/>
          <w:lang w:eastAsia="zh-CN" w:bidi="ar"/>
        </w:rPr>
        <w:t xml:space="preserve">日09点30分</w:t>
      </w:r>
      <w:r>
        <w:rPr>
          <w:rFonts w:ascii="仿宋" w:hAnsi="仿宋" w:eastAsia="仿宋"/>
          <w:bCs/>
          <w:color w:val="auto"/>
          <w:sz w:val="32"/>
          <w:szCs w:val="32"/>
          <w:highlight w:val="none"/>
          <w:lang w:bidi="ar"/>
        </w:rPr>
        <w:t xml:space="preserve">（北京时间）</w:t>
      </w:r>
      <w:r>
        <w:rPr>
          <w:rFonts w:ascii="仿宋" w:hAnsi="仿宋" w:eastAsia="仿宋"/>
          <w:iCs/>
          <w:color w:val="auto"/>
          <w:sz w:val="32"/>
          <w:szCs w:val="32"/>
          <w:highlight w:val="none"/>
          <w:lang w:bidi="ar"/>
        </w:rPr>
        <w:t xml:space="preserve">。</w:t>
      </w:r>
      <w:r/>
    </w:p>
    <w:p>
      <w:pPr>
        <w:ind w:firstLine="640"/>
        <w:spacing w:line="360" w:lineRule="auto"/>
        <w:rPr>
          <w:rFonts w:ascii="仿宋" w:hAnsi="仿宋" w:eastAsia="仿宋"/>
          <w:b/>
          <w:bCs/>
          <w:color w:val="auto"/>
          <w:sz w:val="32"/>
          <w:szCs w:val="32"/>
          <w:highlight w:val="none"/>
        </w:rPr>
      </w:pPr>
      <w:r>
        <w:rPr>
          <w:rFonts w:ascii="仿宋" w:hAnsi="仿宋" w:eastAsia="仿宋"/>
          <w:color w:val="auto"/>
          <w:sz w:val="32"/>
          <w:szCs w:val="32"/>
          <w:highlight w:val="none"/>
          <w:lang w:bidi="ar"/>
        </w:rPr>
        <w:t xml:space="preserve">地点：</w:t>
      </w:r>
      <w:r>
        <w:rPr>
          <w:rFonts w:hint="eastAsia" w:ascii="仿宋" w:hAnsi="仿宋" w:eastAsia="仿宋"/>
          <w:color w:val="auto"/>
          <w:sz w:val="32"/>
          <w:szCs w:val="32"/>
          <w:highlight w:val="none"/>
          <w:lang w:bidi="ar"/>
        </w:rPr>
        <w:t xml:space="preserve">“苏采云”政府采购一体化平台。</w:t>
      </w:r>
      <w:r/>
    </w:p>
    <w:p>
      <w:pPr>
        <w:pStyle w:val="1049"/>
        <w:ind w:firstLine="643"/>
        <w:jc w:val="left"/>
        <w:spacing w:before="0" w:line="360" w:lineRule="auto"/>
        <w:rPr>
          <w:rFonts w:ascii="仿宋" w:hAnsi="仿宋" w:eastAsia="仿宋"/>
          <w:color w:val="auto"/>
          <w:sz w:val="32"/>
          <w:szCs w:val="32"/>
          <w:highlight w:val="none"/>
        </w:rPr>
      </w:pPr>
      <w:r/>
      <w:bookmarkStart w:id="22" w:name="_Toc35393794"/>
      <w:r/>
      <w:bookmarkStart w:id="23" w:name="_Toc28359084"/>
      <w:r/>
      <w:bookmarkStart w:id="24" w:name="_Toc35393625"/>
      <w:r/>
      <w:bookmarkStart w:id="25" w:name="_Toc28359007"/>
      <w:r>
        <w:rPr>
          <w:rFonts w:ascii="仿宋" w:hAnsi="仿宋" w:eastAsia="仿宋"/>
          <w:color w:val="auto"/>
          <w:sz w:val="32"/>
          <w:szCs w:val="32"/>
          <w:highlight w:val="none"/>
        </w:rPr>
        <w:t xml:space="preserve">五、公告期限</w:t>
      </w:r>
      <w:bookmarkEnd w:id="22"/>
      <w:r/>
      <w:bookmarkEnd w:id="23"/>
      <w:r/>
      <w:bookmarkEnd w:id="24"/>
      <w:r/>
      <w:bookmarkEnd w:id="25"/>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自本公告发布之日起5个工作日。</w:t>
      </w:r>
      <w:r/>
    </w:p>
    <w:p>
      <w:pPr>
        <w:pStyle w:val="1049"/>
        <w:ind w:firstLine="643"/>
        <w:jc w:val="left"/>
        <w:spacing w:before="0" w:line="360" w:lineRule="auto"/>
        <w:rPr>
          <w:rFonts w:ascii="仿宋" w:hAnsi="仿宋" w:eastAsia="仿宋"/>
          <w:color w:val="auto"/>
          <w:sz w:val="32"/>
          <w:szCs w:val="32"/>
          <w:highlight w:val="none"/>
        </w:rPr>
      </w:pPr>
      <w:r/>
      <w:bookmarkStart w:id="26" w:name="_Toc35393626"/>
      <w:r/>
      <w:bookmarkStart w:id="27" w:name="_Toc35393795"/>
      <w:r>
        <w:rPr>
          <w:rFonts w:ascii="仿宋" w:hAnsi="仿宋" w:eastAsia="仿宋"/>
          <w:color w:val="auto"/>
          <w:sz w:val="32"/>
          <w:szCs w:val="32"/>
          <w:highlight w:val="none"/>
        </w:rPr>
        <w:t xml:space="preserve">六、其他补充事宜</w:t>
      </w:r>
      <w:bookmarkEnd w:id="26"/>
      <w:r/>
      <w:bookmarkEnd w:id="27"/>
      <w:r/>
      <w:r/>
    </w:p>
    <w:p>
      <w:pPr>
        <w:ind w:firstLine="640"/>
        <w:spacing w:line="360" w:lineRule="auto"/>
        <w:rPr>
          <w:rFonts w:ascii="仿宋" w:hAnsi="仿宋" w:eastAsia="仿宋"/>
          <w:color w:val="auto"/>
          <w:sz w:val="32"/>
          <w:szCs w:val="32"/>
          <w:highlight w:val="none"/>
        </w:rPr>
      </w:pPr>
      <w:r>
        <w:rPr>
          <w:rFonts w:ascii="仿宋" w:hAnsi="仿宋" w:eastAsia="仿宋"/>
          <w:color w:val="auto"/>
          <w:sz w:val="32"/>
          <w:szCs w:val="32"/>
          <w:highlight w:val="none"/>
        </w:rPr>
        <w:t xml:space="preserve">1.本项目需要落实的政府采购政策：</w:t>
      </w:r>
      <w:r>
        <w:rPr>
          <w:rFonts w:hint="eastAsia" w:ascii="仿宋" w:hAnsi="仿宋" w:eastAsia="仿宋"/>
          <w:color w:val="auto"/>
          <w:sz w:val="32"/>
          <w:szCs w:val="32"/>
          <w:highlight w:val="none"/>
          <w:u w:val="single"/>
          <w:lang w:bidi="ar"/>
        </w:rPr>
        <w:t xml:space="preserve">/</w:t>
      </w:r>
      <w:r>
        <w:rPr>
          <w:rFonts w:ascii="仿宋" w:hAnsi="仿宋" w:eastAsia="仿宋"/>
          <w:color w:val="auto"/>
          <w:sz w:val="32"/>
          <w:szCs w:val="32"/>
          <w:highlight w:val="none"/>
          <w:lang w:bidi="ar"/>
        </w:rPr>
        <w:t xml:space="preserve">。</w:t>
      </w:r>
      <w:r>
        <w:rPr>
          <w:rFonts w:ascii="仿宋" w:hAnsi="仿宋" w:eastAsia="仿宋"/>
          <w:color w:val="auto"/>
          <w:sz w:val="32"/>
          <w:szCs w:val="32"/>
          <w:highlight w:val="none"/>
        </w:rPr>
        <w:t xml:space="preserve"> </w:t>
      </w:r>
      <w:r/>
    </w:p>
    <w:p>
      <w:pPr>
        <w:ind w:firstLine="640"/>
        <w:spacing w:line="360" w:lineRule="auto"/>
        <w:rPr>
          <w:rFonts w:hint="eastAsia" w:ascii="仿宋" w:hAnsi="仿宋" w:eastAsia="仿宋"/>
          <w:color w:val="auto"/>
          <w:sz w:val="32"/>
          <w:szCs w:val="32"/>
          <w:highlight w:val="none"/>
          <w:lang w:bidi="ar"/>
        </w:rPr>
      </w:pPr>
      <w:r>
        <w:rPr>
          <w:rFonts w:ascii="仿宋" w:hAnsi="仿宋" w:eastAsia="仿宋"/>
          <w:color w:val="auto"/>
          <w:sz w:val="32"/>
          <w:szCs w:val="32"/>
          <w:highlight w:val="none"/>
        </w:rPr>
        <w:t xml:space="preserve">2.</w:t>
      </w:r>
      <w:r>
        <w:rPr>
          <w:rFonts w:hint="eastAsia" w:ascii="仿宋" w:hAnsi="仿宋" w:eastAsia="仿宋"/>
          <w:color w:val="auto"/>
          <w:sz w:val="32"/>
          <w:szCs w:val="32"/>
          <w:highlight w:val="none"/>
          <w:lang w:bidi="ar"/>
        </w:rPr>
        <w:t xml:space="preserve">根据省财政厅《关</w:t>
      </w:r>
      <w:r>
        <w:rPr>
          <w:rFonts w:hint="eastAsia" w:ascii="仿宋" w:hAnsi="仿宋" w:eastAsia="仿宋"/>
          <w:color w:val="auto"/>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olor w:val="auto"/>
          <w:sz w:val="32"/>
          <w:szCs w:val="32"/>
          <w:highlight w:val="none"/>
          <w:lang w:bidi="ar"/>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0" allowOverlap="1">
                <wp:simplePos x="0" y="0"/>
                <wp:positionH relativeFrom="margin">
                  <wp:posOffset>156845</wp:posOffset>
                </wp:positionH>
                <wp:positionV relativeFrom="margin">
                  <wp:posOffset>2379345</wp:posOffset>
                </wp:positionV>
                <wp:extent cx="5401310" cy="5401310"/>
                <wp:effectExtent l="0" t="0" r="8890" b="8890"/>
                <wp:wrapNone/>
                <wp:docPr id="4"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6388133" descr="标志"/>
                        <pic:cNvPicPr>
                          <a:picLocks noChangeAspect="1"/>
                        </pic:cNvPicPr>
                        <pic:nvPr/>
                      </pic:nvPicPr>
                      <pic:blipFill>
                        <a:blip r:embed="rId25">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false;mso-position-horizontal-relative:margin;margin-left:12.3pt;mso-position-horizontal:absolute;mso-position-vertical-relative:margin;margin-top:187.3pt;mso-position-vertical:absolute;width:425.3pt;height:425.3pt;mso-wrap-distance-left:9.0pt;mso-wrap-distance-top:0.0pt;mso-wrap-distance-right:9.0pt;mso-wrap-distance-bottom:0.0pt;" stroked="f">
                <v:path textboxrect="0,0,0,0"/>
                <v:imagedata r:id="rId25" o:title=""/>
              </v:shape>
            </w:pict>
          </mc:Fallback>
        </mc:AlternateContent>
      </w:r>
      <w:r>
        <w:rPr>
          <w:rFonts w:hint="eastAsia" w:ascii="仿宋" w:hAnsi="仿宋" w:eastAsia="仿宋"/>
          <w:color w:val="auto"/>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640"/>
        <w:spacing w:line="360" w:lineRule="auto"/>
        <w:rPr>
          <w:rFonts w:ascii="仿宋" w:hAnsi="仿宋" w:eastAsia="仿宋"/>
          <w:color w:val="auto"/>
          <w:sz w:val="32"/>
          <w:szCs w:val="32"/>
          <w:highlight w:val="none"/>
          <w:lang w:val="zh-TW" w:bidi="ar"/>
        </w:rPr>
      </w:pPr>
      <w:r>
        <w:rPr>
          <w:rFonts w:ascii="仿宋" w:hAnsi="仿宋" w:eastAsia="PMingLiU"/>
          <w:color w:val="auto"/>
          <w:sz w:val="32"/>
          <w:szCs w:val="32"/>
          <w:highlight w:val="none"/>
          <w:lang w:val="zh-TW" w:eastAsia="zh-TW" w:bidi="ar"/>
        </w:rPr>
        <w:t xml:space="preserve">3</w:t>
      </w:r>
      <w:r>
        <w:rPr>
          <w:rFonts w:hint="eastAsia" w:ascii="仿宋" w:hAnsi="仿宋" w:eastAsia="仿宋"/>
          <w:color w:val="auto"/>
          <w:sz w:val="32"/>
          <w:szCs w:val="32"/>
          <w:highlight w:val="none"/>
          <w:lang w:val="zh-TW" w:bidi="ar"/>
        </w:rPr>
        <w:t xml:space="preserve">.关于常州市中小企业政府采购信用融资：</w:t>
      </w:r>
      <w:r/>
    </w:p>
    <w:p>
      <w:pPr>
        <w:ind w:firstLine="640"/>
        <w:spacing w:line="360" w:lineRule="auto"/>
        <w:rPr>
          <w:rFonts w:ascii="仿宋" w:hAnsi="仿宋" w:eastAsia="仿宋"/>
          <w:color w:val="auto"/>
          <w:sz w:val="32"/>
          <w:szCs w:val="32"/>
          <w:highlight w:val="none"/>
          <w:lang w:val="zh-TW" w:bidi="ar"/>
        </w:rPr>
      </w:pPr>
      <w:r>
        <w:rPr>
          <w:rFonts w:hint="eastAsia" w:ascii="仿宋" w:hAnsi="仿宋" w:eastAsia="仿宋"/>
          <w:color w:val="auto"/>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9"/>
        <w:ind w:firstLine="643"/>
        <w:jc w:val="left"/>
        <w:spacing w:before="0" w:line="360" w:lineRule="auto"/>
        <w:rPr>
          <w:rFonts w:ascii="仿宋" w:hAnsi="仿宋" w:eastAsia="仿宋"/>
          <w:color w:val="auto"/>
          <w:sz w:val="32"/>
          <w:szCs w:val="32"/>
          <w:highlight w:val="none"/>
        </w:rPr>
      </w:pPr>
      <w:r/>
      <w:bookmarkStart w:id="28" w:name="_Toc35393627"/>
      <w:r/>
      <w:bookmarkStart w:id="29" w:name="_Toc28359085"/>
      <w:r/>
      <w:bookmarkStart w:id="30" w:name="_Toc28359008"/>
      <w:r/>
      <w:bookmarkStart w:id="31" w:name="_Toc35393796"/>
      <w:r>
        <w:rPr>
          <w:rFonts w:ascii="仿宋" w:hAnsi="仿宋" w:eastAsia="仿宋"/>
          <w:color w:val="auto"/>
          <w:sz w:val="32"/>
          <w:szCs w:val="32"/>
          <w:highlight w:val="none"/>
        </w:rPr>
        <w:t xml:space="preserve">七、对本次招标提出询问，请按以下方式联系。</w:t>
      </w:r>
      <w:bookmarkEnd w:id="28"/>
      <w:r/>
      <w:bookmarkEnd w:id="29"/>
      <w:r/>
      <w:bookmarkEnd w:id="30"/>
      <w:r/>
      <w:bookmarkEnd w:id="31"/>
      <w:r/>
      <w:r/>
    </w:p>
    <w:p>
      <w:pPr>
        <w:ind w:firstLine="643"/>
        <w:jc w:val="left"/>
        <w:spacing w:line="360" w:lineRule="auto"/>
        <w:widowControl/>
        <w:rPr>
          <w:rFonts w:ascii="仿宋" w:hAnsi="仿宋" w:eastAsia="仿宋"/>
          <w:b/>
          <w:color w:val="auto"/>
          <w:sz w:val="32"/>
          <w:szCs w:val="32"/>
          <w:highlight w:val="none"/>
        </w:rPr>
      </w:pPr>
      <w:r>
        <w:rPr>
          <w:rFonts w:ascii="仿宋" w:hAnsi="仿宋" w:eastAsia="仿宋"/>
          <w:b/>
          <w:color w:val="auto"/>
          <w:sz w:val="32"/>
          <w:szCs w:val="32"/>
          <w:highlight w:val="none"/>
        </w:rPr>
        <w:t xml:space="preserve">1.采购人信息</w:t>
      </w:r>
      <w:r/>
    </w:p>
    <w:p>
      <w:pPr>
        <w:ind w:firstLine="640"/>
        <w:jc w:val="left"/>
        <w:spacing w:line="360" w:lineRule="auto"/>
        <w:rPr>
          <w:rFonts w:hint="eastAsia" w:ascii="仿宋" w:hAnsi="仿宋" w:eastAsia="仿宋"/>
          <w:color w:val="auto"/>
          <w:sz w:val="32"/>
          <w:szCs w:val="32"/>
          <w:highlight w:val="none"/>
        </w:rPr>
      </w:pPr>
      <w:r/>
      <w:bookmarkStart w:id="32" w:name="_Toc28359009"/>
      <w:r/>
      <w:bookmarkStart w:id="33" w:name="_Toc28359086"/>
      <w:r>
        <w:rPr>
          <w:rFonts w:hint="eastAsia" w:ascii="仿宋" w:hAnsi="仿宋" w:eastAsia="仿宋"/>
          <w:color w:val="auto"/>
          <w:sz w:val="32"/>
          <w:szCs w:val="32"/>
          <w:highlight w:val="none"/>
        </w:rPr>
        <w:t xml:space="preserve">名    称：</w:t>
      </w:r>
      <w:r>
        <w:rPr>
          <w:rFonts w:hint="eastAsia" w:ascii="仿宋" w:hAnsi="仿宋" w:eastAsia="仿宋" w:cs="宋体"/>
          <w:color w:val="auto"/>
          <w:sz w:val="32"/>
          <w:szCs w:val="32"/>
          <w:highlight w:val="none"/>
        </w:rPr>
        <w:t xml:space="preserve">常州市武进中医医院</w:t>
      </w:r>
      <w:r/>
    </w:p>
    <w:p>
      <w:pPr>
        <w:ind w:firstLine="640"/>
        <w:jc w:val="left"/>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w:t>
      </w:r>
      <w:r>
        <w:rPr>
          <w:rFonts w:hint="eastAsia" w:ascii="仿宋" w:hAnsi="仿宋" w:eastAsia="仿宋" w:cs="宋体"/>
          <w:color w:val="auto"/>
          <w:sz w:val="32"/>
          <w:szCs w:val="32"/>
          <w:highlight w:val="none"/>
        </w:rPr>
        <w:t xml:space="preserve">常州市武进区湖塘镇人民中路699号</w:t>
      </w:r>
      <w:r/>
    </w:p>
    <w:p>
      <w:pPr>
        <w:ind w:firstLine="640"/>
        <w:jc w:val="left"/>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联系方式：</w:t>
      </w:r>
      <w:r>
        <w:rPr>
          <w:rFonts w:hint="eastAsia" w:ascii="仿宋" w:hAnsi="仿宋" w:eastAsia="仿宋" w:cs="宋体"/>
          <w:color w:val="auto"/>
          <w:sz w:val="32"/>
          <w:szCs w:val="32"/>
          <w:highlight w:val="none"/>
        </w:rPr>
        <w:t xml:space="preserve">金老师 0519-86582523</w:t>
      </w:r>
      <w:r/>
    </w:p>
    <w:p>
      <w:pPr>
        <w:ind w:firstLine="643"/>
        <w:jc w:val="left"/>
        <w:spacing w:line="360" w:lineRule="auto"/>
        <w:rPr>
          <w:rFonts w:ascii="仿宋" w:hAnsi="仿宋" w:eastAsia="仿宋"/>
          <w:b/>
          <w:color w:val="auto"/>
          <w:sz w:val="32"/>
          <w:szCs w:val="32"/>
          <w:highlight w:val="none"/>
        </w:rPr>
      </w:pPr>
      <w:r>
        <w:rPr>
          <w:rFonts w:ascii="仿宋" w:hAnsi="仿宋" w:eastAsia="仿宋"/>
          <w:b/>
          <w:color w:val="auto"/>
          <w:sz w:val="32"/>
          <w:szCs w:val="32"/>
          <w:highlight w:val="none"/>
        </w:rPr>
        <w:t xml:space="preserve">2.采购代理机构信息</w:t>
      </w:r>
      <w:bookmarkEnd w:id="32"/>
      <w:r/>
      <w:bookmarkEnd w:id="33"/>
      <w:r/>
      <w:r/>
    </w:p>
    <w:p>
      <w:pPr>
        <w:ind w:firstLine="640"/>
        <w:spacing w:line="360" w:lineRule="auto"/>
        <w:rPr>
          <w:rFonts w:hint="eastAsia" w:ascii="仿宋" w:hAnsi="仿宋" w:eastAsia="仿宋"/>
          <w:color w:val="auto"/>
          <w:sz w:val="32"/>
          <w:szCs w:val="32"/>
          <w:highlight w:val="none"/>
        </w:rPr>
      </w:pPr>
      <w:r/>
      <w:bookmarkStart w:id="34" w:name="_Toc28359010"/>
      <w:r/>
      <w:bookmarkStart w:id="35" w:name="_Toc28359087"/>
      <w:r>
        <w:rPr>
          <w:rFonts w:hint="eastAsia" w:ascii="仿宋" w:hAnsi="仿宋" w:eastAsia="仿宋"/>
          <w:color w:val="auto"/>
          <w:sz w:val="32"/>
          <w:szCs w:val="32"/>
          <w:highlight w:val="none"/>
        </w:rPr>
        <w:t xml:space="preserve">名    称：常州市城投建设工程招标有限公司</w:t>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地    址：常州市新北区通江中路396号中创大厦4楼</w:t>
      </w:r>
      <w:r/>
    </w:p>
    <w:p>
      <w:pPr>
        <w:ind w:firstLine="640"/>
        <w:spacing w:line="360" w:lineRule="auto"/>
        <w:rPr>
          <w:rFonts w:hint="eastAsia" w:ascii="仿宋" w:hAnsi="仿宋" w:eastAsia="仿宋"/>
          <w:b/>
          <w:color w:val="auto"/>
          <w:sz w:val="32"/>
          <w:szCs w:val="32"/>
          <w:highlight w:val="none"/>
        </w:rPr>
      </w:pPr>
      <w:r>
        <w:rPr>
          <w:rFonts w:hint="eastAsia" w:ascii="仿宋" w:hAnsi="仿宋" w:eastAsia="仿宋"/>
          <w:color w:val="auto"/>
          <w:sz w:val="32"/>
          <w:szCs w:val="32"/>
          <w:highlight w:val="none"/>
        </w:rPr>
        <w:t xml:space="preserve">联系方式：0519-81580101</w:t>
      </w:r>
      <w:r>
        <w:rPr>
          <w:rFonts w:ascii="仿宋" w:hAnsi="仿宋" w:eastAsia="仿宋"/>
          <w:b/>
          <w:color w:val="auto"/>
          <w:sz w:val="32"/>
          <w:szCs w:val="32"/>
          <w:highlight w:val="none"/>
        </w:rPr>
        <w:t xml:space="preserve"> </w:t>
      </w:r>
      <w:r/>
    </w:p>
    <w:p>
      <w:pPr>
        <w:ind w:firstLine="643"/>
        <w:spacing w:line="360" w:lineRule="auto"/>
        <w:rPr>
          <w:rFonts w:hint="eastAsia" w:ascii="仿宋" w:hAnsi="仿宋" w:eastAsia="仿宋"/>
          <w:b/>
          <w:color w:val="auto"/>
          <w:sz w:val="32"/>
          <w:szCs w:val="32"/>
          <w:highlight w:val="none"/>
        </w:rPr>
      </w:pPr>
      <w:r>
        <w:rPr>
          <w:rFonts w:ascii="仿宋" w:hAnsi="仿宋" w:eastAsia="仿宋"/>
          <w:b/>
          <w:color w:val="auto"/>
          <w:sz w:val="32"/>
          <w:szCs w:val="32"/>
          <w:highlight w:val="none"/>
        </w:rPr>
        <w:t xml:space="preserve">3.项目联系方式</w:t>
      </w:r>
      <w:bookmarkEnd w:id="34"/>
      <w:r/>
      <w:bookmarkEnd w:id="35"/>
      <w:r/>
      <w:r/>
    </w:p>
    <w:p>
      <w:pPr>
        <w:ind w:firstLine="640"/>
        <w:spacing w:line="360" w:lineRule="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项目联系人：彭艳</w:t>
      </w:r>
      <w:r/>
    </w:p>
    <w:p>
      <w:pPr>
        <w:ind w:firstLine="640"/>
        <w:spacing w:line="360" w:lineRule="auto"/>
        <w:rPr>
          <w:rFonts w:ascii="仿宋" w:hAnsi="仿宋" w:eastAsia="仿宋"/>
          <w:color w:val="auto"/>
          <w:sz w:val="24"/>
          <w:highlight w:val="none"/>
        </w:rPr>
      </w:pPr>
      <w:r>
        <w:rPr>
          <w:rFonts w:hint="eastAsia" w:ascii="仿宋" w:hAnsi="仿宋" w:eastAsia="仿宋"/>
          <w:color w:val="auto"/>
          <w:sz w:val="32"/>
          <w:szCs w:val="32"/>
          <w:highlight w:val="none"/>
        </w:rPr>
        <w:t xml:space="preserve">电      话：0519-81580152  81580191  81580192（转分机号6</w:t>
      </w:r>
      <w:r>
        <w:rPr>
          <w:rFonts w:ascii="仿宋" w:hAnsi="仿宋" w:eastAsia="仿宋"/>
          <w:color w:val="auto"/>
          <w:sz w:val="32"/>
          <w:szCs w:val="32"/>
          <w:highlight w:val="none"/>
        </w:rPr>
        <w:t xml:space="preserve">034</w:t>
      </w:r>
      <w:r>
        <w:rPr>
          <w:rFonts w:hint="eastAsia" w:ascii="仿宋" w:hAnsi="仿宋" w:eastAsia="仿宋"/>
          <w:color w:val="auto"/>
          <w:sz w:val="32"/>
          <w:szCs w:val="32"/>
          <w:highlight w:val="none"/>
        </w:rPr>
        <w:t xml:space="preserve">）</w:t>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36" w:name="_Toc99301420"/>
      <w:r/>
      <w:bookmarkStart w:id="37" w:name="_Toc150774783"/>
      <w:r/>
      <w:bookmarkStart w:id="38" w:name="_Toc512937850"/>
      <w:r/>
      <w:bookmarkStart w:id="39" w:name="_Toc195842950"/>
      <w:r/>
      <w:bookmarkStart w:id="40" w:name="_Toc305158854"/>
      <w:r/>
      <w:bookmarkStart w:id="41" w:name="_Toc127161488"/>
      <w:r/>
      <w:bookmarkStart w:id="42" w:name="_Toc265228423"/>
      <w:r/>
      <w:bookmarkStart w:id="43" w:name="_Toc264969275"/>
      <w:r/>
      <w:bookmarkStart w:id="44" w:name="_Toc226965856"/>
      <w:r/>
      <w:bookmarkStart w:id="45" w:name="_Toc127151777"/>
      <w:r/>
      <w:bookmarkStart w:id="46" w:name="_Toc305158928"/>
      <w:r/>
      <w:bookmarkStart w:id="47" w:name="_Toc353873938"/>
      <w:r/>
      <w:bookmarkStart w:id="48" w:name="_Toc353825548"/>
      <w:r>
        <w:rPr>
          <w:rFonts w:ascii="宋体" w:hAnsi="宋体"/>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49"/>
        <w:spacing w:before="0" w:line="360" w:lineRule="auto"/>
        <w:tabs>
          <w:tab w:val="center" w:pos="4592" w:leader="none"/>
          <w:tab w:val="left" w:pos="7860" w:leader="none"/>
        </w:tabs>
        <w:rPr>
          <w:rFonts w:ascii="宋体" w:hAnsi="宋体" w:eastAsia="宋体"/>
          <w:color w:val="auto"/>
          <w:sz w:val="28"/>
          <w:highlight w:val="none"/>
        </w:rPr>
      </w:pPr>
      <w:r/>
      <w:bookmarkStart w:id="49" w:name="_Toc150774619"/>
      <w:r/>
      <w:bookmarkStart w:id="50" w:name="_Toc142311021"/>
      <w:r/>
      <w:bookmarkStart w:id="51" w:name="_Toc164229214"/>
      <w:r/>
      <w:bookmarkStart w:id="52" w:name="_Toc164229360"/>
      <w:r/>
      <w:bookmarkStart w:id="53" w:name="_Toc151193833"/>
      <w:r/>
      <w:bookmarkStart w:id="54" w:name="_Toc520356144"/>
      <w:r/>
      <w:bookmarkStart w:id="55" w:name="_Toc151193689"/>
      <w:r/>
      <w:bookmarkStart w:id="56" w:name="_Toc151193907"/>
      <w:r/>
      <w:bookmarkStart w:id="57" w:name="_Toc164608788"/>
      <w:r/>
      <w:bookmarkStart w:id="58" w:name="_Toc127151720"/>
      <w:r/>
      <w:bookmarkStart w:id="59" w:name="_Toc149720812"/>
      <w:r/>
      <w:bookmarkStart w:id="60" w:name="_Toc150509270"/>
      <w:r/>
      <w:bookmarkStart w:id="61" w:name="_Toc195842884"/>
      <w:r/>
      <w:bookmarkStart w:id="62" w:name="_Toc226309763"/>
      <w:r/>
      <w:bookmarkStart w:id="63" w:name="_Toc164608633"/>
      <w:r/>
      <w:bookmarkStart w:id="64" w:name="_Toc226337215"/>
      <w:r/>
      <w:bookmarkStart w:id="65" w:name="_Toc226965709"/>
      <w:r/>
      <w:bookmarkStart w:id="66" w:name="_Toc151193761"/>
      <w:r/>
      <w:bookmarkStart w:id="67" w:name="_Toc150480757"/>
      <w:r/>
      <w:bookmarkStart w:id="68" w:name="_Toc226965792"/>
      <w:r/>
      <w:bookmarkStart w:id="69" w:name="_Toc151193617"/>
      <w:r/>
      <w:bookmarkStart w:id="70" w:name="_Toc150774724"/>
      <w:r/>
      <w:bookmarkStart w:id="71" w:name="_Toc127151519"/>
      <w:r/>
      <w:bookmarkStart w:id="72" w:name="_Toc127161433"/>
      <w:r/>
      <w:bookmarkStart w:id="73" w:name="_Toc151190146"/>
      <w:r/>
      <w:bookmarkStart w:id="74" w:name="_Toc164351613"/>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hint="eastAsia" w:ascii="宋体" w:hAnsi="宋体" w:cs="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margin">
                  <wp:posOffset>98425</wp:posOffset>
                </wp:positionH>
                <wp:positionV relativeFrom="margin">
                  <wp:posOffset>1179830</wp:posOffset>
                </wp:positionV>
                <wp:extent cx="5401310" cy="5401310"/>
                <wp:effectExtent l="0" t="0" r="8890" b="8890"/>
                <wp:wrapNone/>
                <wp:docPr id="5"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PictureWatermark6388133" descr="标志"/>
                        <pic:cNvPicPr>
                          <a:picLocks noChangeAspect="1"/>
                        </pic:cNvPicPr>
                        <pic:nvPr/>
                      </pic:nvPicPr>
                      <pic:blipFill>
                        <a:blip r:embed="rId25">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false;mso-position-horizontal-relative:margin;margin-left:7.8pt;mso-position-horizontal:absolute;mso-position-vertical-relative:margin;margin-top:92.9pt;mso-position-vertical:absolute;width:425.3pt;height:425.3pt;mso-wrap-distance-left:9.0pt;mso-wrap-distance-top:0.0pt;mso-wrap-distance-right:9.0pt;mso-wrap-distance-bottom:0.0pt;" stroked="f">
                <v:path textboxrect="0,0,0,0"/>
                <v:imagedata r:id="rId25" o:title=""/>
              </v:shape>
            </w:pict>
          </mc:Fallback>
        </mc:AlternateContent>
      </w:r>
      <w:r>
        <w:rPr>
          <w:rFonts w:hint="eastAsia" w:ascii="宋体" w:hAnsi="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标记</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87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54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u w:val="singl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货物</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■否</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2.4</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核心产品</w:t>
            </w:r>
            <w:r/>
          </w:p>
        </w:tc>
        <w:tc>
          <w:tcPr>
            <w:tcW w:w="7540" w:type="dxa"/>
            <w:vAlign w:val="center"/>
            <w:textDirection w:val="lrTb"/>
            <w:noWrap w:val="false"/>
          </w:tcPr>
          <w:p>
            <w:pPr>
              <w:pStyle w:val="1086"/>
              <w:rPr>
                <w:rFonts w:hAnsi="宋体" w:cs="宋体"/>
                <w:color w:val="auto"/>
                <w:sz w:val="24"/>
                <w:szCs w:val="24"/>
                <w:highlight w:val="none"/>
              </w:rPr>
            </w:pPr>
            <w:r>
              <w:rPr>
                <w:rFonts w:hAnsi="宋体" w:cs="宋体"/>
                <w:color w:val="auto"/>
                <w:sz w:val="24"/>
                <w:szCs w:val="24"/>
                <w:highlight w:val="none"/>
              </w:rPr>
              <w:t xml:space="preserve">□关于核心产品本项目__包不适用。</w:t>
            </w:r>
            <w:r/>
          </w:p>
          <w:p>
            <w:pPr>
              <w:pStyle w:val="1086"/>
              <w:rPr>
                <w:rFonts w:hAnsi="宋体" w:cs="宋体"/>
                <w:color w:val="auto"/>
                <w:sz w:val="24"/>
                <w:szCs w:val="24"/>
                <w:highlight w:val="none"/>
              </w:rPr>
            </w:pPr>
            <w:r>
              <w:rPr>
                <w:rFonts w:hint="eastAsia" w:ascii="宋体" w:hAnsi="宋体" w:cs="宋体"/>
                <w:color w:val="auto"/>
                <w:sz w:val="24"/>
                <w:highlight w:val="none"/>
              </w:rPr>
              <w:t xml:space="preserve">■</w:t>
            </w:r>
            <w:r>
              <w:rPr>
                <w:rFonts w:hAnsi="宋体" w:cs="宋体"/>
                <w:color w:val="auto"/>
                <w:sz w:val="24"/>
                <w:szCs w:val="24"/>
                <w:highlight w:val="none"/>
              </w:rPr>
              <w:t xml:space="preserve">本项目__包为单一产品采购项目。</w:t>
            </w:r>
            <w:r/>
          </w:p>
          <w:p>
            <w:pPr>
              <w:jc w:val="left"/>
              <w:rPr>
                <w:rFonts w:hint="eastAsia" w:ascii="宋体" w:hAnsi="宋体" w:cs="宋体"/>
                <w:color w:val="auto"/>
                <w:sz w:val="24"/>
                <w:highlight w:val="none"/>
              </w:rPr>
            </w:pPr>
            <w:r>
              <w:rPr>
                <w:rFonts w:hAnsi="宋体" w:cs="宋体"/>
                <w:color w:val="auto"/>
                <w:sz w:val="24"/>
                <w:szCs w:val="24"/>
                <w:highlight w:val="none"/>
              </w:rPr>
              <w:t xml:space="preserve">□</w:t>
            </w:r>
            <w:r>
              <w:rPr>
                <w:rFonts w:hint="eastAsia" w:ascii="宋体" w:hAnsi="宋体" w:cs="宋体"/>
                <w:color w:val="auto"/>
                <w:sz w:val="24"/>
                <w:highlight w:val="none"/>
              </w:rPr>
              <w:t xml:space="preserve">本项目__包为非单一产品采购项目，核心产品为：____。</w:t>
            </w:r>
            <w:r/>
          </w:p>
        </w:tc>
      </w:tr>
      <w:tr>
        <w:trPr>
          <w:cantSplit/>
          <w:jc w:val="center"/>
          <w:trHeight w:val="20"/>
        </w:trPr>
        <w:tc>
          <w:tcPr>
            <w:tcW w:w="988" w:type="dxa"/>
            <w:vAlign w:val="center"/>
            <w:vMerge w:val="restart"/>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pStyle w:val="1086"/>
              <w:rPr>
                <w:rFonts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highlight w:val="none"/>
                <w:u w:val="single"/>
              </w:rPr>
              <w:t xml:space="preserve">/</w:t>
            </w:r>
            <w:r>
              <w:rPr>
                <w:rFonts w:hAnsi="宋体" w:cs="宋体"/>
                <w:color w:val="auto"/>
                <w:sz w:val="24"/>
                <w:szCs w:val="24"/>
                <w:highlight w:val="none"/>
              </w:rPr>
              <w:t xml:space="preserve">。</w:t>
            </w:r>
            <w:r/>
          </w:p>
        </w:tc>
      </w:tr>
      <w:tr>
        <w:trPr>
          <w:cantSplit/>
          <w:jc w:val="center"/>
          <w:trHeight w:val="20"/>
        </w:trPr>
        <w:tc>
          <w:tcPr>
            <w:tcW w:w="988" w:type="dxa"/>
            <w:vAlign w:val="center"/>
            <w:vMerge w:val="continue"/>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开标前答疑会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bidi="ar"/>
              </w:rPr>
              <w:t xml:space="preserve">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4.1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样品</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投标样品递交：</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■不需要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□需要，具体要求如下：</w:t>
            </w:r>
            <w:r/>
          </w:p>
        </w:tc>
      </w:tr>
      <w:tr>
        <w:trPr>
          <w:jc w:val="center"/>
          <w:trHeight w:val="517"/>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5.2.5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color w:val="auto"/>
                <w:sz w:val="24"/>
                <w:highlight w:val="none"/>
              </w:rPr>
              <w:t xml:space="preserve">工业。</w:t>
            </w:r>
            <w:r/>
          </w:p>
        </w:tc>
      </w:tr>
      <w:tr>
        <w:trPr>
          <w:jc w:val="center"/>
          <w:trHeight w:val="841"/>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br w:type="page" w:clear="all"/>
            </w:r>
            <w:r>
              <w:rPr>
                <w:rFonts w:hAnsi="宋体" w:cs="宋体"/>
                <w:color w:val="auto"/>
                <w:sz w:val="24"/>
                <w:szCs w:val="24"/>
                <w:highlight w:val="none"/>
              </w:rPr>
              <w:t xml:space="preserve">11.2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投标报价的特殊规定：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□有，具体情形：_____。</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12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投标保证金</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13.1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25.5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lang w:bidi="ar"/>
              </w:rPr>
              <w:t xml:space="preserve">/</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26.1.1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询问送达形式：投标人对招标文件如有疑问，请将疑问于</w:t>
            </w:r>
            <w:r>
              <w:rPr>
                <w:rFonts w:hint="eastAsia" w:ascii="宋体" w:hAnsi="宋体" w:cs="宋体"/>
                <w:b/>
                <w:color w:val="auto"/>
                <w:sz w:val="24"/>
                <w:highlight w:val="none"/>
              </w:rPr>
              <w:t xml:space="preserve">2</w:t>
            </w:r>
            <w:r>
              <w:rPr>
                <w:rFonts w:ascii="宋体" w:hAnsi="宋体" w:cs="宋体"/>
                <w:b/>
                <w:color w:val="auto"/>
                <w:sz w:val="24"/>
                <w:highlight w:val="none"/>
              </w:rPr>
              <w:t xml:space="preserve">025</w:t>
            </w:r>
            <w:r>
              <w:rPr>
                <w:rFonts w:hint="eastAsia" w:ascii="宋体" w:hAnsi="宋体" w:cs="宋体"/>
                <w:b/>
                <w:color w:val="auto"/>
                <w:sz w:val="24"/>
                <w:highlight w:val="none"/>
              </w:rPr>
              <w:t xml:space="preserve">年12月</w:t>
            </w:r>
            <w:r>
              <w:rPr>
                <w:rFonts w:hint="eastAsia" w:ascii="宋体" w:hAnsi="宋体" w:cs="宋体"/>
                <w:b/>
                <w:color w:val="auto"/>
                <w:sz w:val="24"/>
                <w:highlight w:val="none"/>
                <w:lang w:val="en-US" w:eastAsia="zh-CN"/>
              </w:rPr>
              <w:t xml:space="preserve">29</w:t>
            </w:r>
            <w:r>
              <w:rPr>
                <w:rFonts w:hint="eastAsia" w:ascii="宋体" w:hAnsi="宋体" w:cs="宋体"/>
                <w:b/>
                <w:color w:val="auto"/>
                <w:sz w:val="24"/>
                <w:highlight w:val="none"/>
              </w:rPr>
              <w:t xml:space="preserve">日11点00分</w:t>
            </w:r>
            <w:r>
              <w:rPr>
                <w:rFonts w:hint="eastAsia" w:ascii="宋体" w:hAnsi="宋体" w:cs="宋体"/>
                <w:color w:val="auto"/>
                <w:sz w:val="24"/>
                <w:highlight w:val="none"/>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26.3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联系部门：技术部；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联系电话：0519-81580152  81580191  81580192（转分机号6</w:t>
            </w:r>
            <w:r>
              <w:rPr>
                <w:rFonts w:ascii="宋体" w:hAnsi="宋体" w:cs="宋体"/>
                <w:color w:val="auto"/>
                <w:sz w:val="24"/>
                <w:highlight w:val="none"/>
              </w:rPr>
              <w:t xml:space="preserve">034</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通讯地址：常州市城投建设工程招标有限公司（常州市新北区通江中路396号中创大厦4楼）。</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86"/>
              <w:jc w:val="center"/>
              <w:rPr>
                <w:rFonts w:hAnsi="宋体" w:cs="宋体"/>
                <w:color w:val="auto"/>
                <w:sz w:val="24"/>
                <w:szCs w:val="24"/>
                <w:highlight w:val="none"/>
              </w:rPr>
            </w:pPr>
            <w:r>
              <w:rPr>
                <w:rFonts w:hAnsi="宋体" w:cs="宋体"/>
                <w:color w:val="auto"/>
                <w:sz w:val="24"/>
                <w:szCs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（一）收费对象：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■中标人</w:t>
            </w:r>
            <w:r/>
          </w:p>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（二）收费标准：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成交供应商须按其成交金额的0.8%计算并支付代理费。代理费按上述计算方法不足人民币3000元的，按人民币3000元收取。</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任意多边形 4"/>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（三）缴纳时间：</w:t>
            </w:r>
            <w:r>
              <w:rPr>
                <w:rFonts w:hint="eastAsia" w:ascii="宋体" w:hAnsi="宋体" w:cs="宋体"/>
                <w:color w:val="auto"/>
                <w:sz w:val="24"/>
                <w:highlight w:val="none"/>
              </w:rPr>
              <w:t xml:space="preserve">中标人应在领取中标通知书时将代理费支付至常州市城投建设工程招标有限公司账户。</w:t>
            </w:r>
            <w:r/>
          </w:p>
          <w:p>
            <w:pPr>
              <w:ind w:firstLine="473"/>
              <w:jc w:val="left"/>
              <w:rPr>
                <w:rFonts w:hint="eastAsia" w:ascii="宋体" w:hAnsi="宋体" w:cs="宋体"/>
                <w:color w:val="auto"/>
                <w:sz w:val="24"/>
                <w:highlight w:val="none"/>
              </w:rPr>
            </w:pPr>
            <w:r>
              <w:rPr>
                <w:rFonts w:hint="eastAsia" w:ascii="宋体" w:hAnsi="宋体" w:cs="宋体"/>
                <w:color w:val="auto"/>
                <w:sz w:val="24"/>
                <w:highlight w:val="none"/>
              </w:rPr>
              <w:t xml:space="preserve">收款单位：常州市城投建设工程招标有限公司</w:t>
            </w:r>
            <w:r/>
          </w:p>
          <w:p>
            <w:pPr>
              <w:ind w:firstLine="473"/>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开户银行：中国建设银行常州大成苑支行</w:t>
            </w:r>
            <w:r/>
          </w:p>
          <w:p>
            <w:pPr>
              <w:ind w:firstLine="473"/>
              <w:jc w:val="left"/>
              <w:rPr>
                <w:rFonts w:hint="eastAsia" w:ascii="宋体" w:hAnsi="宋体" w:cs="宋体"/>
                <w:color w:val="auto"/>
                <w:sz w:val="24"/>
                <w:highlight w:val="none"/>
              </w:rPr>
            </w:pPr>
            <w:r>
              <w:rPr>
                <w:rFonts w:hint="eastAsia" w:ascii="宋体" w:hAnsi="宋体" w:cs="宋体"/>
                <w:color w:val="auto"/>
                <w:sz w:val="24"/>
                <w:highlight w:val="none"/>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86"/>
              <w:jc w:val="center"/>
              <w:rPr>
                <w:rFonts w:hAnsi="宋体" w:cs="宋体"/>
                <w:color w:val="auto"/>
                <w:sz w:val="24"/>
                <w:szCs w:val="24"/>
                <w:highlight w:val="none"/>
              </w:rPr>
            </w:pPr>
            <w:r>
              <w:rPr>
                <w:rFonts w:hAnsi="宋体"/>
                <w:color w:val="auto"/>
                <w:sz w:val="24"/>
                <w:szCs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ind w:firstLine="473"/>
              <w:jc w:val="left"/>
              <w:rPr>
                <w:rFonts w:hint="eastAsia" w:ascii="宋体" w:hAnsi="宋体" w:cs="宋体"/>
                <w:b/>
                <w:color w:val="auto"/>
                <w:sz w:val="24"/>
                <w:highlight w:val="none"/>
              </w:rPr>
            </w:pPr>
            <w:r>
              <w:rPr>
                <w:rFonts w:hint="eastAsia"/>
                <w:color w:val="auto"/>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auto"/>
                <w:sz w:val="24"/>
                <w:highlight w:val="none"/>
              </w:rPr>
              <w:t xml:space="preserve">建设工程招标有限公司</w:t>
            </w:r>
            <w:r>
              <w:rPr>
                <w:rFonts w:hint="eastAsia"/>
                <w:color w:val="auto"/>
                <w:sz w:val="24"/>
                <w:highlight w:val="none"/>
              </w:rPr>
              <w:t xml:space="preserve">，联系方式见《第一章 投标邀请》）</w:t>
            </w:r>
            <w:r/>
          </w:p>
        </w:tc>
      </w:tr>
    </w:tbl>
    <w:p>
      <w:pPr>
        <w:jc w:val="both"/>
        <w:spacing w:line="360" w:lineRule="auto"/>
        <w:tabs>
          <w:tab w:val="left" w:pos="5580" w:leader="none"/>
        </w:tabs>
        <w:rPr>
          <w:rFonts w:hint="eastAsia" w:ascii="宋体" w:hAnsi="宋体" w:cs="宋体"/>
          <w:color w:val="auto"/>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color w:val="auto"/>
          <w:sz w:val="24"/>
          <w:highlight w:val="none"/>
        </w:rPr>
        <w:br w:type="page" w:clear="all"/>
      </w:r>
      <w:r/>
    </w:p>
    <w:p>
      <w:pPr>
        <w:jc w:val="center"/>
        <w:spacing w:before="240" w:after="240"/>
        <w:rPr>
          <w:rFonts w:hint="eastAsia" w:ascii="宋体" w:hAnsi="宋体" w:cs="宋体"/>
          <w:b/>
          <w:color w:val="auto"/>
          <w:sz w:val="28"/>
          <w:szCs w:val="28"/>
          <w:highlight w:val="none"/>
        </w:rPr>
      </w:pPr>
      <w:r/>
      <w:bookmarkStart w:id="75" w:name="_Toc353873932"/>
      <w:r/>
      <w:bookmarkStart w:id="76" w:name="_Toc264969207"/>
      <w:r/>
      <w:bookmarkStart w:id="77" w:name="_Toc305158859"/>
      <w:r/>
      <w:bookmarkStart w:id="78" w:name="_Toc150774722"/>
      <w:r/>
      <w:bookmarkStart w:id="79" w:name="_Toc265228355"/>
      <w:r/>
      <w:bookmarkStart w:id="80" w:name="_Toc226965790"/>
      <w:r/>
      <w:bookmarkStart w:id="81" w:name="_Toc150480755"/>
      <w:r/>
      <w:bookmarkStart w:id="82" w:name="_Toc195842882"/>
      <w:r/>
      <w:bookmarkStart w:id="83" w:name="_Toc142311019"/>
      <w:r/>
      <w:bookmarkStart w:id="84" w:name="_Toc353825542"/>
      <w:r/>
      <w:bookmarkStart w:id="85" w:name="_Toc127151517"/>
      <w:r/>
      <w:bookmarkStart w:id="86" w:name="_Toc226337213"/>
      <w:r/>
      <w:bookmarkStart w:id="87" w:name="_Toc305158785"/>
      <w:r/>
      <w:bookmarkStart w:id="88" w:name="_Toc353873662"/>
      <w:r>
        <w:rPr>
          <w:rFonts w:hint="eastAsia" w:ascii="宋体" w:hAnsi="宋体" w:cs="宋体"/>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49"/>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89" w:name="_Toc127151518"/>
      <w:r/>
      <w:bookmarkStart w:id="90" w:name="_Toc520356143"/>
      <w:r>
        <w:rPr>
          <w:rFonts w:hint="eastAsia" w:ascii="宋体" w:hAnsi="宋体" w:eastAsia="宋体" w:cs="宋体"/>
          <w:color w:val="auto"/>
          <w:sz w:val="28"/>
          <w:highlight w:val="none"/>
        </w:rPr>
        <w:tab/>
      </w:r>
      <w:bookmarkStart w:id="91" w:name="_Toc142311020"/>
      <w:r/>
      <w:bookmarkStart w:id="92" w:name="_Toc151193832"/>
      <w:r/>
      <w:bookmarkStart w:id="93" w:name="_Toc150509269"/>
      <w:r/>
      <w:bookmarkStart w:id="94" w:name="_Toc226337214"/>
      <w:r/>
      <w:bookmarkStart w:id="95" w:name="_Toc150774723"/>
      <w:r/>
      <w:bookmarkStart w:id="96" w:name="_Toc151193906"/>
      <w:r/>
      <w:bookmarkStart w:id="97" w:name="_Toc151193688"/>
      <w:r/>
      <w:bookmarkStart w:id="98" w:name="_Toc226965791"/>
      <w:r/>
      <w:bookmarkStart w:id="99" w:name="_Toc150774618"/>
      <w:r/>
      <w:bookmarkStart w:id="100" w:name="_Toc264969208"/>
      <w:r/>
      <w:bookmarkStart w:id="101" w:name="_Toc150480756"/>
      <w:r/>
      <w:bookmarkStart w:id="102" w:name="_Toc265228356"/>
      <w:r/>
      <w:bookmarkStart w:id="103" w:name="_Toc151193616"/>
      <w:r/>
      <w:bookmarkStart w:id="104" w:name="_Toc226965708"/>
      <w:r/>
      <w:bookmarkStart w:id="105" w:name="_Toc305158786"/>
      <w:r/>
      <w:bookmarkStart w:id="106" w:name="_Toc305158860"/>
      <w:r/>
      <w:bookmarkStart w:id="107" w:name="_Toc151193760"/>
      <w:r/>
      <w:bookmarkStart w:id="108" w:name="_Toc226309762"/>
      <w:r/>
      <w:bookmarkStart w:id="109" w:name="_Toc195842883"/>
      <w:r/>
      <w:bookmarkStart w:id="110" w:name="_Toc151190145"/>
      <w:r>
        <w:rPr>
          <w:rFonts w:hint="eastAsia" w:ascii="宋体" w:hAnsi="宋体" w:eastAsia="宋体" w:cs="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auto"/>
          <w:sz w:val="28"/>
          <w:highlight w:val="none"/>
        </w:rPr>
        <w:tab/>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bookmarkStart w:id="111" w:name="_Toc305158861"/>
      <w:r/>
      <w:bookmarkStart w:id="112" w:name="_Toc305158787"/>
      <w:r/>
      <w:bookmarkStart w:id="113" w:name="_Toc264969209"/>
      <w:r/>
      <w:bookmarkStart w:id="114" w:name="_Toc265228357"/>
      <w:r>
        <w:rPr>
          <w:rFonts w:hint="eastAsia" w:ascii="宋体" w:hAnsi="宋体" w:cs="宋体"/>
          <w:b/>
          <w:color w:val="auto"/>
          <w:sz w:val="24"/>
          <w:highlight w:val="none"/>
        </w:rPr>
        <w:t xml:space="preserve">采购人、采购代理机构、投标人</w:t>
      </w:r>
      <w:bookmarkEnd w:id="111"/>
      <w:r/>
      <w:bookmarkEnd w:id="112"/>
      <w:r/>
      <w:bookmarkEnd w:id="113"/>
      <w:r/>
      <w:bookmarkEnd w:id="114"/>
      <w:r>
        <w:rPr>
          <w:rFonts w:hint="eastAsia" w:ascii="宋体" w:hAnsi="宋体" w:cs="宋体"/>
          <w:b/>
          <w:color w:val="auto"/>
          <w:sz w:val="24"/>
          <w:highlight w:val="none"/>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0" allowOverlap="1">
                <wp:simplePos x="0" y="0"/>
                <wp:positionH relativeFrom="margin">
                  <wp:posOffset>29845</wp:posOffset>
                </wp:positionH>
                <wp:positionV relativeFrom="margin">
                  <wp:posOffset>1850390</wp:posOffset>
                </wp:positionV>
                <wp:extent cx="5401310" cy="5401310"/>
                <wp:effectExtent l="0" t="0" r="8890" b="8890"/>
                <wp:wrapNone/>
                <wp:docPr id="7"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PictureWatermark6388133" descr="标志"/>
                        <pic:cNvPicPr>
                          <a:picLocks noChangeAspect="1"/>
                        </pic:cNvPicPr>
                        <pic:nvPr/>
                      </pic:nvPicPr>
                      <pic:blipFill>
                        <a:blip r:embed="rId25">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false;mso-position-horizontal-relative:margin;margin-left:2.4pt;mso-position-horizontal:absolute;mso-position-vertical-relative:margin;margin-top:145.7pt;mso-position-vertical:absolute;width:425.3pt;height:425.3pt;mso-wrap-distance-left:9.0pt;mso-wrap-distance-top:0.0pt;mso-wrap-distance-right:9.0pt;mso-wrap-distance-bottom:0.0pt;" stroked="f">
                <v:path textboxrect="0,0,0,0"/>
                <v:imagedata r:id="rId25" o:title=""/>
              </v:shape>
            </w:pict>
          </mc:Fallback>
        </mc:AlternateContent>
      </w: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bookmarkStart w:id="115" w:name="_Toc226337216"/>
      <w:r/>
      <w:bookmarkStart w:id="116" w:name="_Toc265228358"/>
      <w:r/>
      <w:bookmarkStart w:id="117" w:name="_Toc142311022"/>
      <w:r/>
      <w:bookmarkStart w:id="118" w:name="_Toc305158862"/>
      <w:r/>
      <w:bookmarkStart w:id="119" w:name="_Toc226309764"/>
      <w:r/>
      <w:bookmarkStart w:id="120" w:name="_Toc150774725"/>
      <w:r/>
      <w:bookmarkStart w:id="121" w:name="_Toc305158788"/>
      <w:r/>
      <w:bookmarkStart w:id="122" w:name="_Toc150509271"/>
      <w:r/>
      <w:bookmarkStart w:id="123" w:name="_Toc264969210"/>
      <w:r/>
      <w:bookmarkStart w:id="124" w:name="_Toc164608634"/>
      <w:r/>
      <w:bookmarkStart w:id="125" w:name="_Toc151193908"/>
      <w:r/>
      <w:bookmarkStart w:id="126" w:name="_Toc127151721"/>
      <w:r/>
      <w:bookmarkStart w:id="127" w:name="_Toc226965793"/>
      <w:r/>
      <w:bookmarkStart w:id="128" w:name="_Toc164229361"/>
      <w:r/>
      <w:bookmarkStart w:id="129" w:name="_Toc127161434"/>
      <w:r/>
      <w:bookmarkStart w:id="130" w:name="_Toc151193618"/>
      <w:r/>
      <w:bookmarkStart w:id="131" w:name="_Toc151190147"/>
      <w:r/>
      <w:bookmarkStart w:id="132" w:name="_Toc150480758"/>
      <w:r/>
      <w:bookmarkStart w:id="133" w:name="_Toc226965710"/>
      <w:r/>
      <w:bookmarkStart w:id="134" w:name="_Toc164351614"/>
      <w:r/>
      <w:bookmarkStart w:id="135" w:name="_Toc164229215"/>
      <w:r/>
      <w:bookmarkStart w:id="136" w:name="_Toc149720813"/>
      <w:r/>
      <w:bookmarkStart w:id="137" w:name="_Toc151193834"/>
      <w:r/>
      <w:bookmarkStart w:id="138" w:name="_Toc127151520"/>
      <w:r/>
      <w:bookmarkStart w:id="139" w:name="_Toc151193690"/>
      <w:r/>
      <w:bookmarkStart w:id="140" w:name="_Toc195842885"/>
      <w:r/>
      <w:bookmarkStart w:id="141" w:name="_Toc151193762"/>
      <w:r/>
      <w:bookmarkStart w:id="142" w:name="_Toc150774620"/>
      <w:r/>
      <w:bookmarkStart w:id="143" w:name="_Toc164608789"/>
      <w:r>
        <w:rPr>
          <w:rFonts w:hint="eastAsia" w:ascii="宋体" w:hAnsi="宋体" w:cs="宋体"/>
          <w:b/>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44" w:name="_Toc305158864"/>
      <w:r/>
      <w:bookmarkStart w:id="145" w:name="_Toc150509273"/>
      <w:r/>
      <w:bookmarkStart w:id="146" w:name="_Toc151193692"/>
      <w:r/>
      <w:bookmarkStart w:id="147" w:name="_Toc264969212"/>
      <w:r/>
      <w:bookmarkStart w:id="148" w:name="_Toc305158790"/>
      <w:r/>
      <w:bookmarkStart w:id="149" w:name="_Toc226309766"/>
      <w:r/>
      <w:bookmarkStart w:id="150" w:name="_Toc150480760"/>
      <w:r/>
      <w:bookmarkStart w:id="151" w:name="_Toc150774622"/>
      <w:r/>
      <w:bookmarkStart w:id="152" w:name="_Toc142311024"/>
      <w:r/>
      <w:bookmarkStart w:id="153" w:name="_Toc151190149"/>
      <w:r/>
      <w:bookmarkStart w:id="154" w:name="_Toc151193620"/>
      <w:r/>
      <w:bookmarkStart w:id="155" w:name="_Toc226965712"/>
      <w:r/>
      <w:bookmarkStart w:id="156" w:name="_Toc150774727"/>
      <w:r/>
      <w:bookmarkStart w:id="157" w:name="_Toc151193910"/>
      <w:r/>
      <w:bookmarkStart w:id="158" w:name="_Toc265228360"/>
      <w:r/>
      <w:bookmarkStart w:id="159" w:name="_Toc127151522"/>
      <w:r/>
      <w:bookmarkStart w:id="160" w:name="_Toc151193836"/>
      <w:r/>
      <w:bookmarkStart w:id="161" w:name="_Toc226337218"/>
      <w:r/>
      <w:bookmarkStart w:id="162" w:name="_Toc520356146"/>
      <w:r/>
      <w:bookmarkStart w:id="163" w:name="_Toc195842887"/>
      <w:r/>
      <w:bookmarkStart w:id="164" w:name="_Toc151193764"/>
      <w:r/>
      <w:bookmarkStart w:id="165" w:name="_Toc22696579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color w:val="auto"/>
          <w:sz w:val="24"/>
          <w:highlight w:val="none"/>
        </w:rPr>
        <w:outlineLvl w:val="1"/>
      </w:pPr>
      <w:r>
        <w:rPr>
          <w:rFonts w:hint="eastAsia" w:ascii="宋体" w:hAnsi="宋体" w:cs="宋体"/>
          <w:b/>
          <w:color w:val="auto"/>
          <w:sz w:val="24"/>
          <w:highlight w:val="none"/>
        </w:rPr>
        <w:t xml:space="preserve">政府采购政策</w:t>
      </w:r>
      <w:r>
        <w:rPr>
          <w:rFonts w:hint="eastAsia" w:ascii="宋体" w:hAnsi="宋体" w:cs="宋体"/>
          <w:color w:val="auto"/>
          <w:sz w:val="24"/>
          <w:highlight w:val="none"/>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中小企业定义：</w:t>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pStyle w:val="1141"/>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pStyle w:val="1141"/>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正版软件</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信息安全产品</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绿色采购政策</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s="宋体"/>
          <w:b/>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color w:val="auto"/>
          <w:sz w:val="28"/>
          <w:highlight w:val="none"/>
        </w:rPr>
      </w:pPr>
      <w:r/>
      <w:bookmarkStart w:id="166" w:name="_1.8_计量单位"/>
      <w:r/>
      <w:bookmarkEnd w:id="166"/>
      <w:r/>
      <w:r/>
    </w:p>
    <w:p>
      <w:pPr>
        <w:pStyle w:val="1049"/>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167" w:name="_Toc150480761"/>
      <w:r/>
      <w:bookmarkStart w:id="168" w:name="_Toc164351617"/>
      <w:r/>
      <w:bookmarkStart w:id="169" w:name="_Toc164229364"/>
      <w:r/>
      <w:bookmarkStart w:id="170" w:name="_Toc150774623"/>
      <w:r/>
      <w:bookmarkStart w:id="171" w:name="_Toc142311025"/>
      <w:r/>
      <w:bookmarkStart w:id="172" w:name="_Toc151193621"/>
      <w:r/>
      <w:bookmarkStart w:id="173" w:name="_Toc226965796"/>
      <w:r/>
      <w:bookmarkStart w:id="174" w:name="_Toc520356147"/>
      <w:r/>
      <w:bookmarkStart w:id="175" w:name="_Toc151190150"/>
      <w:r/>
      <w:bookmarkStart w:id="176" w:name="_Toc264969213"/>
      <w:r/>
      <w:bookmarkStart w:id="177" w:name="_Toc164608637"/>
      <w:r/>
      <w:bookmarkStart w:id="178" w:name="_Toc226337219"/>
      <w:r/>
      <w:bookmarkStart w:id="179" w:name="_Toc151193765"/>
      <w:r/>
      <w:bookmarkStart w:id="180" w:name="_Toc265228361"/>
      <w:r/>
      <w:bookmarkStart w:id="181" w:name="_Toc164608792"/>
      <w:r/>
      <w:bookmarkStart w:id="182" w:name="_Toc127161437"/>
      <w:r/>
      <w:bookmarkStart w:id="183" w:name="_Toc164229218"/>
      <w:r/>
      <w:bookmarkStart w:id="184" w:name="_Toc150509274"/>
      <w:r/>
      <w:bookmarkStart w:id="185" w:name="_Toc149720816"/>
      <w:r/>
      <w:bookmarkStart w:id="186" w:name="_Toc305158865"/>
      <w:r/>
      <w:bookmarkStart w:id="187" w:name="_Toc127151724"/>
      <w:r/>
      <w:bookmarkStart w:id="188" w:name="_Toc127151523"/>
      <w:r/>
      <w:bookmarkStart w:id="189" w:name="_Toc195842888"/>
      <w:r/>
      <w:bookmarkStart w:id="190" w:name="_Toc305158791"/>
      <w:r/>
      <w:bookmarkStart w:id="191" w:name="_Toc151193837"/>
      <w:r/>
      <w:bookmarkStart w:id="192" w:name="_Toc151193693"/>
      <w:r/>
      <w:bookmarkStart w:id="193" w:name="_Toc151193911"/>
      <w:r/>
      <w:bookmarkStart w:id="194" w:name="_Toc150774728"/>
      <w:r/>
      <w:bookmarkStart w:id="195" w:name="_Toc226309767"/>
      <w:r/>
      <w:bookmarkStart w:id="196" w:name="_Toc226965713"/>
      <w:r>
        <w:rPr>
          <w:rFonts w:hint="eastAsia" w:ascii="宋体" w:hAnsi="宋体" w:cs="宋体"/>
          <w:b/>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auto"/>
          <w:sz w:val="24"/>
          <w:highlight w:val="none"/>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49"/>
        <w:ind w:firstLine="562"/>
        <w:spacing w:before="0" w:line="360" w:lineRule="auto"/>
        <w:rPr>
          <w:rFonts w:hint="eastAsia" w:ascii="宋体" w:hAnsi="宋体" w:eastAsia="宋体" w:cs="宋体"/>
          <w:color w:val="auto"/>
          <w:sz w:val="28"/>
          <w:highlight w:val="none"/>
        </w:rPr>
      </w:pPr>
      <w:r/>
      <w:bookmarkStart w:id="197" w:name="_Toc516367020"/>
      <w:r/>
      <w:bookmarkStart w:id="198" w:name="_Toc150774731"/>
      <w:r/>
      <w:bookmarkStart w:id="199" w:name="_Toc151193768"/>
      <w:r/>
      <w:bookmarkStart w:id="200" w:name="_Toc127151526"/>
      <w:r/>
      <w:bookmarkStart w:id="201" w:name="_Toc151193840"/>
      <w:r/>
      <w:bookmarkStart w:id="202" w:name="_Toc150774626"/>
      <w:r/>
      <w:bookmarkStart w:id="203" w:name="_Toc226309770"/>
      <w:r/>
      <w:bookmarkStart w:id="204" w:name="_Toc142311028"/>
      <w:r/>
      <w:bookmarkStart w:id="205" w:name="_Toc151193696"/>
      <w:r/>
      <w:bookmarkStart w:id="206" w:name="_Toc150509277"/>
      <w:r/>
      <w:bookmarkStart w:id="207" w:name="_Toc305158868"/>
      <w:r/>
      <w:bookmarkStart w:id="208" w:name="_Toc264969216"/>
      <w:r/>
      <w:bookmarkStart w:id="209" w:name="_Toc151193624"/>
      <w:r/>
      <w:bookmarkStart w:id="210" w:name="_Toc226965799"/>
      <w:r/>
      <w:bookmarkStart w:id="211" w:name="_Toc195842891"/>
      <w:r/>
      <w:bookmarkStart w:id="212" w:name="_Toc226965716"/>
      <w:r/>
      <w:bookmarkStart w:id="213" w:name="_Toc520356150"/>
      <w:r/>
      <w:bookmarkStart w:id="214" w:name="_Toc265228364"/>
      <w:r/>
      <w:bookmarkStart w:id="215" w:name="_Toc151193914"/>
      <w:r/>
      <w:bookmarkStart w:id="216" w:name="_Toc305158794"/>
      <w:r/>
      <w:bookmarkStart w:id="217" w:name="_Toc150480764"/>
      <w:r/>
      <w:bookmarkStart w:id="218" w:name="_Toc226337222"/>
      <w:r/>
      <w:bookmarkStart w:id="219" w:name="_Toc151190153"/>
      <w:r>
        <w:rPr>
          <w:rFonts w:hint="eastAsia" w:ascii="宋体" w:hAnsi="宋体" w:eastAsia="宋体" w:cs="宋体"/>
          <w:color w:val="auto"/>
          <w:sz w:val="28"/>
          <w:highlight w:val="none"/>
        </w:rPr>
        <w:t xml:space="preserve">三   投标文件</w:t>
      </w:r>
      <w:bookmarkEnd w:id="197"/>
      <w:r>
        <w:rPr>
          <w:rFonts w:hint="eastAsia" w:ascii="宋体" w:hAnsi="宋体" w:eastAsia="宋体" w:cs="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20" w:name="_Toc164229222"/>
      <w:r/>
      <w:bookmarkStart w:id="221" w:name="_Toc151190154"/>
      <w:r/>
      <w:bookmarkStart w:id="222" w:name="_Toc164229368"/>
      <w:r/>
      <w:bookmarkStart w:id="223" w:name="_Toc264969217"/>
      <w:r/>
      <w:bookmarkStart w:id="224" w:name="_Toc142311029"/>
      <w:r/>
      <w:bookmarkStart w:id="225" w:name="_Toc520356151"/>
      <w:r/>
      <w:bookmarkStart w:id="226" w:name="_Toc151193697"/>
      <w:r/>
      <w:bookmarkStart w:id="227" w:name="_Toc226965717"/>
      <w:r/>
      <w:bookmarkStart w:id="228" w:name="_Toc226309771"/>
      <w:r/>
      <w:bookmarkStart w:id="229" w:name="_Toc150509278"/>
      <w:r/>
      <w:bookmarkStart w:id="230" w:name="_Toc164608641"/>
      <w:r/>
      <w:bookmarkStart w:id="231" w:name="_Toc151193625"/>
      <w:r/>
      <w:bookmarkStart w:id="232" w:name="_Toc516367021"/>
      <w:r/>
      <w:bookmarkStart w:id="233" w:name="_Toc195842892"/>
      <w:r/>
      <w:bookmarkStart w:id="234" w:name="_Toc150774732"/>
      <w:r/>
      <w:bookmarkStart w:id="235" w:name="_Toc226965800"/>
      <w:r/>
      <w:bookmarkStart w:id="236" w:name="_Toc127151527"/>
      <w:r/>
      <w:bookmarkStart w:id="237" w:name="_Toc151193769"/>
      <w:r/>
      <w:bookmarkStart w:id="238" w:name="_Toc151193841"/>
      <w:r/>
      <w:bookmarkStart w:id="239" w:name="_Toc164351621"/>
      <w:r/>
      <w:bookmarkStart w:id="240" w:name="_Toc149720820"/>
      <w:r/>
      <w:bookmarkStart w:id="241" w:name="_Toc150774627"/>
      <w:r/>
      <w:bookmarkStart w:id="242" w:name="_Toc127161441"/>
      <w:r/>
      <w:bookmarkStart w:id="243" w:name="_Toc305158795"/>
      <w:r/>
      <w:bookmarkStart w:id="244" w:name="_Toc305158869"/>
      <w:r/>
      <w:bookmarkStart w:id="245" w:name="_Toc164608796"/>
      <w:r/>
      <w:bookmarkStart w:id="246" w:name="_Toc150480765"/>
      <w:r/>
      <w:bookmarkStart w:id="247" w:name="_Toc226337223"/>
      <w:r/>
      <w:bookmarkStart w:id="248" w:name="_Toc265228365"/>
      <w:r/>
      <w:bookmarkStart w:id="249" w:name="_Toc151193915"/>
      <w:r/>
      <w:bookmarkStart w:id="250" w:name="_Toc127151728"/>
      <w:r>
        <w:rPr>
          <w:rFonts w:hint="eastAsia" w:ascii="宋体" w:hAnsi="宋体" w:cs="宋体"/>
          <w:b/>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auto"/>
          <w:sz w:val="24"/>
          <w:highlight w:val="none"/>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51" w:name="_Ref467306195"/>
      <w:r/>
      <w:bookmarkStart w:id="252" w:name="_Toc516367022"/>
      <w:r/>
      <w:bookmarkStart w:id="253" w:name="_Ref467306676"/>
      <w:r/>
      <w:bookmarkStart w:id="254" w:name="_Toc164608797"/>
      <w:r/>
      <w:bookmarkStart w:id="255" w:name="_Toc520356152"/>
      <w:r/>
      <w:bookmarkStart w:id="256" w:name="_Toc164351622"/>
      <w:r/>
      <w:bookmarkStart w:id="257" w:name="_Toc127151729"/>
      <w:r/>
      <w:bookmarkStart w:id="258" w:name="_Toc226337224"/>
      <w:r/>
      <w:bookmarkStart w:id="259" w:name="_Toc151193842"/>
      <w:r/>
      <w:bookmarkStart w:id="260" w:name="_Toc195842893"/>
      <w:r/>
      <w:bookmarkStart w:id="261" w:name="_Toc164229369"/>
      <w:r/>
      <w:bookmarkStart w:id="262" w:name="_Toc150509279"/>
      <w:r/>
      <w:bookmarkStart w:id="263" w:name="_Toc127151528"/>
      <w:r/>
      <w:bookmarkStart w:id="264" w:name="_Toc151190155"/>
      <w:r/>
      <w:bookmarkStart w:id="265" w:name="_Toc164608642"/>
      <w:r/>
      <w:bookmarkStart w:id="266" w:name="_Toc226965801"/>
      <w:r/>
      <w:bookmarkStart w:id="267" w:name="_Toc151193698"/>
      <w:r/>
      <w:bookmarkStart w:id="268" w:name="_Toc127161442"/>
      <w:r/>
      <w:bookmarkStart w:id="269" w:name="_Toc151193916"/>
      <w:r/>
      <w:bookmarkStart w:id="270" w:name="_Toc226309772"/>
      <w:r/>
      <w:bookmarkStart w:id="271" w:name="_Toc226965718"/>
      <w:r/>
      <w:bookmarkStart w:id="272" w:name="_Toc305158870"/>
      <w:r/>
      <w:bookmarkStart w:id="273" w:name="_Toc142311030"/>
      <w:r/>
      <w:bookmarkStart w:id="274" w:name="_Toc150480766"/>
      <w:r/>
      <w:bookmarkStart w:id="275" w:name="_Toc264969218"/>
      <w:r/>
      <w:bookmarkStart w:id="276" w:name="_Toc149720821"/>
      <w:r/>
      <w:bookmarkStart w:id="277" w:name="_Toc305158796"/>
      <w:r/>
      <w:bookmarkStart w:id="278" w:name="_Toc164229223"/>
      <w:r/>
      <w:bookmarkStart w:id="279" w:name="_Toc265228366"/>
      <w:r/>
      <w:bookmarkStart w:id="280" w:name="_Toc151193770"/>
      <w:r/>
      <w:bookmarkStart w:id="281" w:name="_Toc151193626"/>
      <w:r/>
      <w:bookmarkStart w:id="282" w:name="_Toc150774628"/>
      <w:r/>
      <w:bookmarkStart w:id="283" w:name="_Toc150774733"/>
      <w:r>
        <w:rPr>
          <w:rFonts w:hint="eastAsia" w:ascii="宋体" w:hAnsi="宋体" w:cs="宋体"/>
          <w:b/>
          <w:color w:val="auto"/>
          <w:sz w:val="24"/>
          <w:highlight w:val="none"/>
        </w:rPr>
        <w:t xml:space="preserve">投标文件</w:t>
      </w:r>
      <w:bookmarkEnd w:id="251"/>
      <w:r/>
      <w:bookmarkEnd w:id="252"/>
      <w:r/>
      <w:bookmarkEnd w:id="253"/>
      <w:r>
        <w:rPr>
          <w:rFonts w:hint="eastAsia" w:ascii="宋体" w:hAnsi="宋体" w:cs="宋体"/>
          <w:b/>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284" w:name="_Ref467052588"/>
      <w:r>
        <w:rPr>
          <w:rFonts w:hint="eastAsia" w:ascii="宋体" w:hAnsi="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285" w:name="_Toc127151530"/>
      <w:r/>
      <w:bookmarkStart w:id="286" w:name="_Toc151190157"/>
      <w:r/>
      <w:bookmarkStart w:id="287" w:name="_Toc164229225"/>
      <w:r/>
      <w:bookmarkStart w:id="288" w:name="_Toc520356155"/>
      <w:r/>
      <w:bookmarkStart w:id="289" w:name="_Toc164608644"/>
      <w:r/>
      <w:bookmarkStart w:id="290" w:name="_Toc150480768"/>
      <w:r/>
      <w:bookmarkStart w:id="291" w:name="_Toc195842895"/>
      <w:r/>
      <w:bookmarkStart w:id="292" w:name="_Toc164608799"/>
      <w:r/>
      <w:bookmarkStart w:id="293" w:name="_Toc150774630"/>
      <w:r/>
      <w:bookmarkStart w:id="294" w:name="_Toc151193772"/>
      <w:r/>
      <w:bookmarkStart w:id="295" w:name="_Toc164229371"/>
      <w:r/>
      <w:bookmarkStart w:id="296" w:name="_Toc151193844"/>
      <w:r/>
      <w:bookmarkStart w:id="297" w:name="_Toc127161444"/>
      <w:r/>
      <w:bookmarkStart w:id="298" w:name="_Toc150509281"/>
      <w:r/>
      <w:bookmarkStart w:id="299" w:name="_Toc164351624"/>
      <w:r/>
      <w:bookmarkStart w:id="300" w:name="_Toc151193918"/>
      <w:r/>
      <w:bookmarkStart w:id="301" w:name="_Toc151193700"/>
      <w:r/>
      <w:bookmarkStart w:id="302" w:name="_Toc149720823"/>
      <w:r/>
      <w:bookmarkStart w:id="303" w:name="_Toc127151731"/>
      <w:r/>
      <w:bookmarkStart w:id="304" w:name="_Toc150774735"/>
      <w:r/>
      <w:bookmarkStart w:id="305" w:name="_Toc151193628"/>
      <w:r/>
      <w:bookmarkStart w:id="306" w:name="_Toc142311032"/>
      <w:r>
        <w:rPr>
          <w:rFonts w:hint="eastAsia" w:ascii="宋体" w:hAnsi="宋体" w:cs="宋体"/>
          <w:b/>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07" w:name="_Ref467306513"/>
      <w:r/>
      <w:bookmarkStart w:id="308" w:name="_Toc164229226"/>
      <w:r/>
      <w:bookmarkStart w:id="309" w:name="_Toc151193919"/>
      <w:r/>
      <w:bookmarkStart w:id="310" w:name="_Toc226309775"/>
      <w:r/>
      <w:bookmarkStart w:id="311" w:name="_Toc265228369"/>
      <w:r/>
      <w:bookmarkStart w:id="312" w:name="_Toc127151732"/>
      <w:r/>
      <w:bookmarkStart w:id="313" w:name="_Toc151193701"/>
      <w:r/>
      <w:bookmarkStart w:id="314" w:name="_Toc164229372"/>
      <w:r/>
      <w:bookmarkStart w:id="315" w:name="_Toc142311033"/>
      <w:r/>
      <w:bookmarkStart w:id="316" w:name="_Toc520356156"/>
      <w:r/>
      <w:bookmarkStart w:id="317" w:name="_Toc164608800"/>
      <w:r/>
      <w:bookmarkStart w:id="318" w:name="_Toc305158799"/>
      <w:r/>
      <w:bookmarkStart w:id="319" w:name="_Toc195842896"/>
      <w:r/>
      <w:bookmarkStart w:id="320" w:name="_Toc151193629"/>
      <w:r/>
      <w:bookmarkStart w:id="321" w:name="_Toc264969221"/>
      <w:r/>
      <w:bookmarkStart w:id="322" w:name="_Toc127161445"/>
      <w:r/>
      <w:bookmarkStart w:id="323" w:name="_Toc150480769"/>
      <w:r/>
      <w:bookmarkStart w:id="324" w:name="_Toc164351625"/>
      <w:r/>
      <w:bookmarkStart w:id="325" w:name="_Toc164608645"/>
      <w:r/>
      <w:bookmarkStart w:id="326" w:name="_Toc151193845"/>
      <w:r/>
      <w:bookmarkStart w:id="327" w:name="_Toc149720824"/>
      <w:r/>
      <w:bookmarkStart w:id="328" w:name="_Toc305158873"/>
      <w:r/>
      <w:bookmarkStart w:id="329" w:name="_Toc226337227"/>
      <w:r/>
      <w:bookmarkStart w:id="330" w:name="_Toc151190158"/>
      <w:r/>
      <w:bookmarkStart w:id="331" w:name="_Toc150774631"/>
      <w:r/>
      <w:bookmarkStart w:id="332" w:name="_Toc226965721"/>
      <w:r/>
      <w:bookmarkStart w:id="333" w:name="_Toc127151531"/>
      <w:r/>
      <w:bookmarkStart w:id="334" w:name="_Toc150774736"/>
      <w:r/>
      <w:bookmarkStart w:id="335" w:name="_Toc151193773"/>
      <w:r/>
      <w:bookmarkStart w:id="336" w:name="_Toc150509282"/>
      <w:r/>
      <w:bookmarkStart w:id="337" w:name="_Toc226965804"/>
      <w:r>
        <w:rPr>
          <w:rFonts w:hint="eastAsia" w:ascii="宋体" w:hAnsi="宋体" w:cs="宋体"/>
          <w:b/>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38" w:name="_Toc127161446"/>
      <w:r/>
      <w:bookmarkStart w:id="339" w:name="_Toc164229227"/>
      <w:r/>
      <w:bookmarkStart w:id="340" w:name="_Toc195842897"/>
      <w:r/>
      <w:bookmarkStart w:id="341" w:name="_Toc164608646"/>
      <w:r/>
      <w:bookmarkStart w:id="342" w:name="_Toc151193846"/>
      <w:r/>
      <w:bookmarkStart w:id="343" w:name="_Toc149720825"/>
      <w:r/>
      <w:bookmarkStart w:id="344" w:name="_Toc264969222"/>
      <w:r/>
      <w:bookmarkStart w:id="345" w:name="_Toc226965722"/>
      <w:r/>
      <w:bookmarkStart w:id="346" w:name="_Toc226965805"/>
      <w:r/>
      <w:bookmarkStart w:id="347" w:name="_Toc150774737"/>
      <w:r/>
      <w:bookmarkStart w:id="348" w:name="_Toc127151733"/>
      <w:r/>
      <w:bookmarkStart w:id="349" w:name="_Toc520356157"/>
      <w:r/>
      <w:bookmarkStart w:id="350" w:name="_Toc164229373"/>
      <w:r/>
      <w:bookmarkStart w:id="351" w:name="_Toc151193702"/>
      <w:r/>
      <w:bookmarkStart w:id="352" w:name="_Toc151193774"/>
      <w:r/>
      <w:bookmarkStart w:id="353" w:name="_Toc305158874"/>
      <w:r/>
      <w:bookmarkStart w:id="354" w:name="_Toc226309776"/>
      <w:r/>
      <w:bookmarkStart w:id="355" w:name="_Toc164608801"/>
      <w:r/>
      <w:bookmarkStart w:id="356" w:name="_Toc265228370"/>
      <w:r/>
      <w:bookmarkStart w:id="357" w:name="_Toc164351626"/>
      <w:r/>
      <w:bookmarkStart w:id="358" w:name="_Toc150774632"/>
      <w:r/>
      <w:bookmarkStart w:id="359" w:name="_Toc142311034"/>
      <w:r/>
      <w:bookmarkStart w:id="360" w:name="_Toc151190159"/>
      <w:r/>
      <w:bookmarkStart w:id="361" w:name="_Toc151193920"/>
      <w:r/>
      <w:bookmarkStart w:id="362" w:name="_Toc150480770"/>
      <w:r/>
      <w:bookmarkStart w:id="363" w:name="_Toc150509283"/>
      <w:r/>
      <w:bookmarkStart w:id="364" w:name="_Toc305158800"/>
      <w:r/>
      <w:bookmarkStart w:id="365" w:name="_Toc151193630"/>
      <w:r/>
      <w:bookmarkStart w:id="366" w:name="_Toc226337228"/>
      <w:r/>
      <w:bookmarkStart w:id="367" w:name="_Toc127151532"/>
      <w:r>
        <w:rPr>
          <w:rFonts w:hint="eastAsia" w:ascii="宋体" w:hAnsi="宋体" w:cs="宋体"/>
          <w:b/>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368" w:name="_Toc195842898"/>
      <w:r/>
      <w:bookmarkStart w:id="369" w:name="_Toc226309777"/>
      <w:r/>
      <w:bookmarkStart w:id="370" w:name="_Toc150774738"/>
      <w:r/>
      <w:bookmarkStart w:id="371" w:name="_Toc150480771"/>
      <w:r/>
      <w:bookmarkStart w:id="372" w:name="_Toc151193703"/>
      <w:r/>
      <w:bookmarkStart w:id="373" w:name="_Toc151193775"/>
      <w:r/>
      <w:bookmarkStart w:id="374" w:name="_Toc150509284"/>
      <w:r/>
      <w:bookmarkStart w:id="375" w:name="_Toc305158875"/>
      <w:r/>
      <w:bookmarkStart w:id="376" w:name="_Toc265228371"/>
      <w:r/>
      <w:bookmarkStart w:id="377" w:name="_Toc150774633"/>
      <w:r/>
      <w:bookmarkStart w:id="378" w:name="_Toc164608647"/>
      <w:r/>
      <w:bookmarkStart w:id="379" w:name="_Toc164229374"/>
      <w:r/>
      <w:bookmarkStart w:id="380" w:name="_Toc149720826"/>
      <w:r/>
      <w:bookmarkStart w:id="381" w:name="_Toc520356158"/>
      <w:r/>
      <w:bookmarkStart w:id="382" w:name="_Toc127151734"/>
      <w:r/>
      <w:bookmarkStart w:id="383" w:name="_Toc127161447"/>
      <w:r/>
      <w:bookmarkStart w:id="384" w:name="_Toc151190160"/>
      <w:r/>
      <w:bookmarkStart w:id="385" w:name="_Toc151193631"/>
      <w:r/>
      <w:bookmarkStart w:id="386" w:name="_Toc164351627"/>
      <w:r/>
      <w:bookmarkStart w:id="387" w:name="_Toc226965806"/>
      <w:r/>
      <w:bookmarkStart w:id="388" w:name="_Toc226337229"/>
      <w:r/>
      <w:bookmarkStart w:id="389" w:name="_Toc164608802"/>
      <w:r/>
      <w:bookmarkStart w:id="390" w:name="_Toc151193847"/>
      <w:r/>
      <w:bookmarkStart w:id="391" w:name="_Toc127151533"/>
      <w:r/>
      <w:bookmarkStart w:id="392" w:name="_Toc226965723"/>
      <w:r/>
      <w:bookmarkStart w:id="393" w:name="_Toc164229228"/>
      <w:r/>
      <w:bookmarkStart w:id="394" w:name="_Toc264969223"/>
      <w:r/>
      <w:bookmarkStart w:id="395" w:name="_Toc305158801"/>
      <w:r/>
      <w:bookmarkStart w:id="396" w:name="_Toc142311035"/>
      <w:r/>
      <w:bookmarkStart w:id="397" w:name="_Toc151193921"/>
      <w:r>
        <w:rPr>
          <w:rFonts w:hint="eastAsia" w:ascii="宋体" w:hAnsi="宋体" w:cs="宋体"/>
          <w:b/>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auto"/>
          <w:sz w:val="24"/>
          <w:highlight w:val="none"/>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bookmarkStart w:id="398" w:name="_Toc151190161"/>
      <w:r/>
      <w:bookmarkStart w:id="399" w:name="_Toc142311036"/>
      <w:r/>
      <w:bookmarkStart w:id="400" w:name="_Toc151193632"/>
      <w:r/>
      <w:bookmarkStart w:id="401" w:name="_Toc151193776"/>
      <w:r/>
      <w:bookmarkStart w:id="402" w:name="_Toc264969224"/>
      <w:r/>
      <w:bookmarkStart w:id="403" w:name="_Toc226309778"/>
      <w:r/>
      <w:bookmarkStart w:id="404" w:name="_Toc305158876"/>
      <w:r/>
      <w:bookmarkStart w:id="405" w:name="_Toc150774739"/>
      <w:r/>
      <w:bookmarkStart w:id="406" w:name="_Toc150480772"/>
      <w:r/>
      <w:bookmarkStart w:id="407" w:name="_Toc520356159"/>
      <w:r/>
      <w:bookmarkStart w:id="408" w:name="_Toc151193848"/>
      <w:r/>
      <w:bookmarkStart w:id="409" w:name="_Toc151193704"/>
      <w:r/>
      <w:bookmarkStart w:id="410" w:name="_Toc265228372"/>
      <w:r/>
      <w:bookmarkStart w:id="411" w:name="_Toc151193922"/>
      <w:r/>
      <w:bookmarkStart w:id="412" w:name="_Toc150774634"/>
      <w:r/>
      <w:bookmarkStart w:id="413" w:name="_Toc226965724"/>
      <w:r/>
      <w:bookmarkStart w:id="414" w:name="_Toc195842899"/>
      <w:r/>
      <w:bookmarkStart w:id="415" w:name="_Toc226965807"/>
      <w:r/>
      <w:bookmarkStart w:id="416" w:name="_Toc150509285"/>
      <w:r/>
      <w:bookmarkStart w:id="417" w:name="_Toc305158802"/>
      <w:r/>
      <w:bookmarkStart w:id="418" w:name="_Toc127151534"/>
      <w:r/>
      <w:bookmarkStart w:id="419" w:name="_Toc226337230"/>
      <w:r>
        <w:rPr>
          <w:rFonts w:hint="eastAsia" w:ascii="宋体" w:hAnsi="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highlight w:val="none"/>
        </w:rPr>
      </w:r>
      <w:r/>
    </w:p>
    <w:p>
      <w:pPr>
        <w:pStyle w:val="1049"/>
        <w:ind w:firstLine="56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20" w:name="_Toc164351629"/>
      <w:r/>
      <w:bookmarkStart w:id="421" w:name="_Toc151193923"/>
      <w:r/>
      <w:bookmarkStart w:id="422" w:name="_Toc226965808"/>
      <w:r/>
      <w:bookmarkStart w:id="423" w:name="_Toc226309779"/>
      <w:r/>
      <w:bookmarkStart w:id="424" w:name="_Toc127161449"/>
      <w:r/>
      <w:bookmarkStart w:id="425" w:name="_Toc265228373"/>
      <w:r/>
      <w:bookmarkStart w:id="426" w:name="_Toc164608649"/>
      <w:r/>
      <w:bookmarkStart w:id="427" w:name="_Toc151193705"/>
      <w:r/>
      <w:bookmarkStart w:id="428" w:name="_Toc151193849"/>
      <w:r/>
      <w:bookmarkStart w:id="429" w:name="_Toc127151736"/>
      <w:r/>
      <w:bookmarkStart w:id="430" w:name="_Toc305158803"/>
      <w:r/>
      <w:bookmarkStart w:id="431" w:name="_Toc150774635"/>
      <w:r/>
      <w:bookmarkStart w:id="432" w:name="_Toc142311037"/>
      <w:r/>
      <w:bookmarkStart w:id="433" w:name="_Toc164229376"/>
      <w:r/>
      <w:bookmarkStart w:id="434" w:name="_Toc164229230"/>
      <w:r/>
      <w:bookmarkStart w:id="435" w:name="_Toc520356160"/>
      <w:r/>
      <w:bookmarkStart w:id="436" w:name="_Toc151193633"/>
      <w:r/>
      <w:bookmarkStart w:id="437" w:name="_Toc150480773"/>
      <w:r/>
      <w:bookmarkStart w:id="438" w:name="_Toc150774740"/>
      <w:r/>
      <w:bookmarkStart w:id="439" w:name="_Toc305158877"/>
      <w:r/>
      <w:bookmarkStart w:id="440" w:name="_Toc149720828"/>
      <w:r/>
      <w:bookmarkStart w:id="441" w:name="_Toc226337231"/>
      <w:r/>
      <w:bookmarkStart w:id="442" w:name="_Toc151193777"/>
      <w:r/>
      <w:bookmarkStart w:id="443" w:name="_Toc127151535"/>
      <w:r/>
      <w:bookmarkStart w:id="444" w:name="_Toc151190162"/>
      <w:r/>
      <w:bookmarkStart w:id="445" w:name="_Toc264969225"/>
      <w:r/>
      <w:bookmarkStart w:id="446" w:name="_Toc164608804"/>
      <w:r/>
      <w:bookmarkStart w:id="447" w:name="_Toc150509286"/>
      <w:r/>
      <w:bookmarkStart w:id="448" w:name="_Toc226965725"/>
      <w:r/>
      <w:bookmarkStart w:id="449" w:name="_Toc195842900"/>
      <w:r>
        <w:rPr>
          <w:rFonts w:hint="eastAsia" w:ascii="宋体" w:hAnsi="宋体" w:cs="宋体"/>
          <w:b/>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auto"/>
          <w:sz w:val="24"/>
          <w:highlight w:val="none"/>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本项目使用</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。投标人根据招标文件及</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50" w:name="_Toc127161450"/>
      <w:r/>
      <w:bookmarkStart w:id="451" w:name="_Toc265228374"/>
      <w:r/>
      <w:bookmarkStart w:id="452" w:name="_Toc164229377"/>
      <w:r/>
      <w:bookmarkStart w:id="453" w:name="_Toc226309780"/>
      <w:r/>
      <w:bookmarkStart w:id="454" w:name="_Toc151193634"/>
      <w:r/>
      <w:bookmarkStart w:id="455" w:name="_Toc305158804"/>
      <w:r/>
      <w:bookmarkStart w:id="456" w:name="_Toc151193706"/>
      <w:r/>
      <w:bookmarkStart w:id="457" w:name="_Toc149720829"/>
      <w:r/>
      <w:bookmarkStart w:id="458" w:name="_Toc520356161"/>
      <w:r/>
      <w:bookmarkStart w:id="459" w:name="_Toc226337232"/>
      <w:r/>
      <w:bookmarkStart w:id="460" w:name="_Toc164229231"/>
      <w:r/>
      <w:bookmarkStart w:id="461" w:name="_Toc150509287"/>
      <w:r/>
      <w:bookmarkStart w:id="462" w:name="_Toc164351630"/>
      <w:r/>
      <w:bookmarkStart w:id="463" w:name="_Toc226965726"/>
      <w:r/>
      <w:bookmarkStart w:id="464" w:name="_Toc195842901"/>
      <w:r/>
      <w:bookmarkStart w:id="465" w:name="_Toc164608805"/>
      <w:r/>
      <w:bookmarkStart w:id="466" w:name="_Toc226965809"/>
      <w:r/>
      <w:bookmarkStart w:id="467" w:name="_Toc151190163"/>
      <w:r/>
      <w:bookmarkStart w:id="468" w:name="_Toc150480774"/>
      <w:r/>
      <w:bookmarkStart w:id="469" w:name="_Toc264969226"/>
      <w:r/>
      <w:bookmarkStart w:id="470" w:name="_Toc127151737"/>
      <w:r/>
      <w:bookmarkStart w:id="471" w:name="_Toc150774636"/>
      <w:r/>
      <w:bookmarkStart w:id="472" w:name="_Toc127151536"/>
      <w:r/>
      <w:bookmarkStart w:id="473" w:name="_Toc151193924"/>
      <w:r/>
      <w:bookmarkStart w:id="474" w:name="_Toc150774741"/>
      <w:r/>
      <w:bookmarkStart w:id="475" w:name="_Toc305158878"/>
      <w:r/>
      <w:bookmarkStart w:id="476" w:name="_Toc164608650"/>
      <w:r/>
      <w:bookmarkStart w:id="477" w:name="_Toc142311038"/>
      <w:r/>
      <w:bookmarkStart w:id="478" w:name="_Toc151193778"/>
      <w:r/>
      <w:bookmarkStart w:id="479" w:name="_Toc151193850"/>
      <w:r>
        <w:rPr>
          <w:rFonts w:hint="eastAsia" w:ascii="宋体" w:hAnsi="宋体" w:cs="宋体"/>
          <w:b/>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auto"/>
          <w:sz w:val="24"/>
          <w:highlight w:val="none"/>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480" w:name="_Toc127151537"/>
      <w:r/>
      <w:bookmarkStart w:id="481" w:name="_Toc226965810"/>
      <w:r/>
      <w:bookmarkStart w:id="482" w:name="_Toc265228375"/>
      <w:r/>
      <w:bookmarkStart w:id="483" w:name="_Toc151193779"/>
      <w:r/>
      <w:bookmarkStart w:id="484" w:name="_Toc149720830"/>
      <w:r/>
      <w:bookmarkStart w:id="485" w:name="_Toc127151738"/>
      <w:r/>
      <w:bookmarkStart w:id="486" w:name="_Toc164351631"/>
      <w:r/>
      <w:bookmarkStart w:id="487" w:name="_Toc150774742"/>
      <w:r/>
      <w:bookmarkStart w:id="488" w:name="_Toc151193851"/>
      <w:r/>
      <w:bookmarkStart w:id="489" w:name="_Toc127161451"/>
      <w:r/>
      <w:bookmarkStart w:id="490" w:name="_Toc142311039"/>
      <w:r/>
      <w:bookmarkStart w:id="491" w:name="_Toc150774637"/>
      <w:r/>
      <w:bookmarkStart w:id="492" w:name="_Toc164229232"/>
      <w:r/>
      <w:bookmarkStart w:id="493" w:name="_Toc151193707"/>
      <w:r/>
      <w:bookmarkStart w:id="494" w:name="_Toc164608651"/>
      <w:r/>
      <w:bookmarkStart w:id="495" w:name="_Toc150480775"/>
      <w:r/>
      <w:bookmarkStart w:id="496" w:name="_Toc305158879"/>
      <w:r/>
      <w:bookmarkStart w:id="497" w:name="_Toc151193635"/>
      <w:r/>
      <w:bookmarkStart w:id="498" w:name="_Toc226965727"/>
      <w:r/>
      <w:bookmarkStart w:id="499" w:name="_Toc150509288"/>
      <w:r/>
      <w:bookmarkStart w:id="500" w:name="_Toc151190164"/>
      <w:r/>
      <w:bookmarkStart w:id="501" w:name="_Toc264969227"/>
      <w:r/>
      <w:bookmarkStart w:id="502" w:name="_Toc520356162"/>
      <w:r/>
      <w:bookmarkStart w:id="503" w:name="_Toc164229378"/>
      <w:r/>
      <w:bookmarkStart w:id="504" w:name="_Toc305158805"/>
      <w:r/>
      <w:bookmarkStart w:id="505" w:name="_Toc226309781"/>
      <w:r/>
      <w:bookmarkStart w:id="506" w:name="_Toc151193925"/>
      <w:r/>
      <w:bookmarkStart w:id="507" w:name="_Toc226337233"/>
      <w:r/>
      <w:bookmarkStart w:id="508" w:name="_Toc164608806"/>
      <w:r/>
      <w:bookmarkStart w:id="509" w:name="_Toc195842902"/>
      <w:r>
        <w:rPr>
          <w:rFonts w:hint="eastAsia" w:ascii="宋体" w:hAnsi="宋体" w:cs="宋体"/>
          <w:b/>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49"/>
        <w:ind w:firstLine="562"/>
        <w:spacing w:before="0" w:line="360" w:lineRule="auto"/>
        <w:rPr>
          <w:rFonts w:hint="eastAsia" w:ascii="宋体" w:hAnsi="宋体" w:eastAsia="宋体" w:cs="宋体"/>
          <w:color w:val="auto"/>
          <w:sz w:val="28"/>
          <w:highlight w:val="none"/>
        </w:rPr>
      </w:pPr>
      <w:r/>
      <w:bookmarkStart w:id="510" w:name="_Toc151193926"/>
      <w:r/>
      <w:bookmarkStart w:id="511" w:name="_Toc150774638"/>
      <w:r/>
      <w:bookmarkStart w:id="512" w:name="_Toc150774743"/>
      <w:r/>
      <w:bookmarkStart w:id="513" w:name="_Toc151193708"/>
      <w:r/>
      <w:bookmarkStart w:id="514" w:name="_Toc226965728"/>
      <w:r/>
      <w:bookmarkStart w:id="515" w:name="_Toc226309782"/>
      <w:r/>
      <w:bookmarkStart w:id="516" w:name="_Toc305158806"/>
      <w:r/>
      <w:bookmarkStart w:id="517" w:name="_Toc142311040"/>
      <w:r/>
      <w:bookmarkStart w:id="518" w:name="_Toc151193636"/>
      <w:r/>
      <w:bookmarkStart w:id="519" w:name="_Toc265228376"/>
      <w:r/>
      <w:bookmarkStart w:id="520" w:name="_Toc151193780"/>
      <w:r/>
      <w:bookmarkStart w:id="521" w:name="_Toc520356163"/>
      <w:r/>
      <w:bookmarkStart w:id="522" w:name="_Toc305158880"/>
      <w:r/>
      <w:bookmarkStart w:id="523" w:name="_Toc226337234"/>
      <w:r/>
      <w:bookmarkStart w:id="524" w:name="_Toc127151538"/>
      <w:r/>
      <w:bookmarkStart w:id="525" w:name="_Toc195842903"/>
      <w:r/>
      <w:bookmarkStart w:id="526" w:name="_Toc151190165"/>
      <w:r/>
      <w:bookmarkStart w:id="527" w:name="_Toc226965811"/>
      <w:r/>
      <w:bookmarkStart w:id="528" w:name="_Toc150509289"/>
      <w:r/>
      <w:bookmarkStart w:id="529" w:name="_Toc150480776"/>
      <w:r/>
      <w:bookmarkStart w:id="530" w:name="_Toc151193852"/>
      <w:r/>
      <w:bookmarkStart w:id="531" w:name="_Toc264969228"/>
      <w:r>
        <w:rPr>
          <w:rFonts w:hint="eastAsia" w:ascii="宋体" w:hAnsi="宋体" w:eastAsia="宋体" w:cs="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32" w:name="_Toc164229380"/>
      <w:r/>
      <w:bookmarkStart w:id="533" w:name="_Toc127161453"/>
      <w:r/>
      <w:bookmarkStart w:id="534" w:name="_Toc305158881"/>
      <w:r/>
      <w:bookmarkStart w:id="535" w:name="_Toc151193853"/>
      <w:r/>
      <w:bookmarkStart w:id="536" w:name="_Toc305158807"/>
      <w:r/>
      <w:bookmarkStart w:id="537" w:name="_Toc150774639"/>
      <w:r/>
      <w:bookmarkStart w:id="538" w:name="_Toc149720832"/>
      <w:r/>
      <w:bookmarkStart w:id="539" w:name="_Toc150509290"/>
      <w:r/>
      <w:bookmarkStart w:id="540" w:name="_Toc164229234"/>
      <w:r/>
      <w:bookmarkStart w:id="541" w:name="_Toc226965729"/>
      <w:r/>
      <w:bookmarkStart w:id="542" w:name="_Toc164351633"/>
      <w:r/>
      <w:bookmarkStart w:id="543" w:name="_Toc226309783"/>
      <w:r/>
      <w:bookmarkStart w:id="544" w:name="_Toc151193709"/>
      <w:r/>
      <w:bookmarkStart w:id="545" w:name="_Toc150774744"/>
      <w:r/>
      <w:bookmarkStart w:id="546" w:name="_Toc151190166"/>
      <w:r/>
      <w:bookmarkStart w:id="547" w:name="_Toc142311041"/>
      <w:r/>
      <w:bookmarkStart w:id="548" w:name="_Toc127151539"/>
      <w:r/>
      <w:bookmarkStart w:id="549" w:name="_Toc151193637"/>
      <w:r/>
      <w:bookmarkStart w:id="550" w:name="_Toc150480777"/>
      <w:r/>
      <w:bookmarkStart w:id="551" w:name="_Toc520356164"/>
      <w:r/>
      <w:bookmarkStart w:id="552" w:name="_Toc151193781"/>
      <w:r/>
      <w:bookmarkStart w:id="553" w:name="_Toc226337235"/>
      <w:r/>
      <w:bookmarkStart w:id="554" w:name="_Toc164608653"/>
      <w:r/>
      <w:bookmarkStart w:id="555" w:name="_Toc264969229"/>
      <w:r/>
      <w:bookmarkStart w:id="556" w:name="_Toc265228377"/>
      <w:r/>
      <w:bookmarkStart w:id="557" w:name="_Toc151193927"/>
      <w:r/>
      <w:bookmarkStart w:id="558" w:name="_Toc226965812"/>
      <w:r/>
      <w:bookmarkStart w:id="559" w:name="_Toc127151740"/>
      <w:r/>
      <w:bookmarkStart w:id="560" w:name="_Toc195842904"/>
      <w:r/>
      <w:bookmarkStart w:id="561" w:name="_Toc164608808"/>
      <w:r>
        <w:rPr>
          <w:rFonts w:hint="eastAsia" w:ascii="宋体" w:hAnsi="宋体" w:cs="宋体"/>
          <w:b/>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w:t>
      </w:r>
      <w:r>
        <w:rPr>
          <w:rFonts w:hint="eastAsia" w:ascii="宋体" w:hAnsi="宋体" w:cs="宋体"/>
          <w:color w:val="auto"/>
          <w:sz w:val="24"/>
          <w:highlight w:val="none"/>
          <w:lang w:bidi="ar"/>
        </w:rPr>
        <w:t xml:space="preserve">政府采购一体化平台“苏采云”</w:t>
      </w:r>
      <w:r>
        <w:rPr>
          <w:rFonts w:hint="eastAsia" w:ascii="宋体" w:hAnsi="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见第三章《资格审查》。</w:t>
      </w:r>
      <w:bookmarkEnd w:id="562"/>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563" w:name="_Toc142311042"/>
      <w:r/>
      <w:bookmarkStart w:id="564" w:name="_Toc127151741"/>
      <w:r/>
      <w:bookmarkStart w:id="565" w:name="_Toc226309784"/>
      <w:r/>
      <w:bookmarkStart w:id="566" w:name="_Toc150480778"/>
      <w:r/>
      <w:bookmarkStart w:id="567" w:name="_Toc226965813"/>
      <w:r/>
      <w:bookmarkStart w:id="568" w:name="_Toc264969230"/>
      <w:r/>
      <w:bookmarkStart w:id="569" w:name="_Toc164351634"/>
      <w:r/>
      <w:bookmarkStart w:id="570" w:name="_Toc226337236"/>
      <w:r/>
      <w:bookmarkStart w:id="571" w:name="_Toc150774640"/>
      <w:r/>
      <w:bookmarkStart w:id="572" w:name="_Toc151193854"/>
      <w:r/>
      <w:bookmarkStart w:id="573" w:name="_Toc151190167"/>
      <w:r/>
      <w:bookmarkStart w:id="574" w:name="_Toc164229381"/>
      <w:r/>
      <w:bookmarkStart w:id="575" w:name="_Toc151193710"/>
      <w:r/>
      <w:bookmarkStart w:id="576" w:name="_Toc195842905"/>
      <w:r/>
      <w:bookmarkStart w:id="577" w:name="_Toc305158808"/>
      <w:r/>
      <w:bookmarkStart w:id="578" w:name="_Toc151193782"/>
      <w:r/>
      <w:bookmarkStart w:id="579" w:name="_Toc226965730"/>
      <w:r/>
      <w:bookmarkStart w:id="580" w:name="_Toc149720833"/>
      <w:r/>
      <w:bookmarkStart w:id="581" w:name="_Toc151193638"/>
      <w:r/>
      <w:bookmarkStart w:id="582" w:name="_Toc164229235"/>
      <w:r/>
      <w:bookmarkStart w:id="583" w:name="_Toc150774745"/>
      <w:r/>
      <w:bookmarkStart w:id="584" w:name="_Toc127161454"/>
      <w:r/>
      <w:bookmarkStart w:id="585" w:name="_Toc164608654"/>
      <w:r/>
      <w:bookmarkStart w:id="586" w:name="_Toc127151540"/>
      <w:r/>
      <w:bookmarkStart w:id="587" w:name="_Toc265228378"/>
      <w:r/>
      <w:bookmarkStart w:id="588" w:name="_Toc305158882"/>
      <w:r/>
      <w:bookmarkStart w:id="589" w:name="_Toc151193928"/>
      <w:r/>
      <w:bookmarkStart w:id="590" w:name="_Toc164608809"/>
      <w:r/>
      <w:bookmarkStart w:id="591" w:name="_Toc150509291"/>
      <w:r>
        <w:rPr>
          <w:rFonts w:hint="eastAsia" w:ascii="宋体" w:hAnsi="宋体" w:cs="宋体"/>
          <w:b/>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049"/>
        <w:ind w:firstLine="562"/>
        <w:spacing w:before="0" w:line="360" w:lineRule="auto"/>
        <w:rPr>
          <w:rFonts w:hint="eastAsia" w:ascii="宋体" w:hAnsi="宋体" w:eastAsia="宋体" w:cs="宋体"/>
          <w:color w:val="auto"/>
          <w:sz w:val="28"/>
          <w:highlight w:val="none"/>
        </w:rPr>
      </w:pPr>
      <w:r/>
      <w:bookmarkStart w:id="594" w:name="_Toc151193787"/>
      <w:r/>
      <w:bookmarkStart w:id="595" w:name="_Toc127151545"/>
      <w:r/>
      <w:bookmarkStart w:id="596" w:name="_Toc150774750"/>
      <w:r/>
      <w:bookmarkStart w:id="597" w:name="_Toc226337241"/>
      <w:r/>
      <w:bookmarkStart w:id="598" w:name="_Toc264969235"/>
      <w:r/>
      <w:bookmarkStart w:id="599" w:name="_Toc150480783"/>
      <w:r/>
      <w:bookmarkStart w:id="600" w:name="_Toc305158887"/>
      <w:r/>
      <w:bookmarkStart w:id="601" w:name="_Toc142311047"/>
      <w:r/>
      <w:bookmarkStart w:id="602" w:name="_Toc150774645"/>
      <w:r/>
      <w:bookmarkStart w:id="603" w:name="_Toc151193933"/>
      <w:r/>
      <w:bookmarkStart w:id="604" w:name="_Toc305158813"/>
      <w:r/>
      <w:bookmarkStart w:id="605" w:name="_Toc151193715"/>
      <w:r/>
      <w:bookmarkStart w:id="606" w:name="_Toc151193643"/>
      <w:r/>
      <w:bookmarkStart w:id="607" w:name="_Toc226965735"/>
      <w:r/>
      <w:bookmarkStart w:id="608" w:name="_Toc265228383"/>
      <w:r/>
      <w:bookmarkStart w:id="609" w:name="_Toc150509296"/>
      <w:r/>
      <w:bookmarkStart w:id="610" w:name="_Toc226965818"/>
      <w:r/>
      <w:bookmarkStart w:id="611" w:name="_Toc151193859"/>
      <w:r/>
      <w:bookmarkStart w:id="612" w:name="_Toc151190172"/>
      <w:r/>
      <w:bookmarkStart w:id="613" w:name="_Toc226309789"/>
      <w:r/>
      <w:bookmarkStart w:id="614" w:name="_Toc195842910"/>
      <w:r>
        <w:rPr>
          <w:rFonts w:hint="eastAsia" w:ascii="宋体" w:hAnsi="宋体" w:eastAsia="宋体" w:cs="宋体"/>
          <w:color w:val="auto"/>
          <w:sz w:val="28"/>
          <w:highlight w:val="none"/>
        </w:rPr>
        <w:t xml:space="preserve">六   </w:t>
      </w:r>
      <w:bookmarkEnd w:id="593"/>
      <w:r>
        <w:rPr>
          <w:rFonts w:hint="eastAsia" w:ascii="宋体" w:hAnsi="宋体" w:eastAsia="宋体" w:cs="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509298"/>
      <w:r/>
      <w:bookmarkStart w:id="616" w:name="_Toc151193717"/>
      <w:r/>
      <w:bookmarkStart w:id="617" w:name="_Toc195842912"/>
      <w:r/>
      <w:bookmarkStart w:id="618" w:name="_Toc149720840"/>
      <w:r/>
      <w:bookmarkStart w:id="619" w:name="_Toc150774647"/>
      <w:r/>
      <w:bookmarkStart w:id="620" w:name="_Toc226309791"/>
      <w:r/>
      <w:bookmarkStart w:id="621" w:name="_Toc226965820"/>
      <w:r/>
      <w:bookmarkStart w:id="622" w:name="_Toc164229388"/>
      <w:r/>
      <w:bookmarkStart w:id="623" w:name="_Toc226337243"/>
      <w:r/>
      <w:bookmarkStart w:id="624" w:name="_Toc151193861"/>
      <w:r/>
      <w:bookmarkStart w:id="625" w:name="_Toc142311049"/>
      <w:r/>
      <w:bookmarkStart w:id="626" w:name="_Toc127151748"/>
      <w:r/>
      <w:bookmarkStart w:id="627" w:name="_Toc226965737"/>
      <w:r/>
      <w:bookmarkStart w:id="628" w:name="_Toc150774752"/>
      <w:r/>
      <w:bookmarkStart w:id="629" w:name="_Toc151193645"/>
      <w:r/>
      <w:bookmarkStart w:id="630" w:name="_Toc151193935"/>
      <w:r/>
      <w:bookmarkStart w:id="631" w:name="_Toc164351641"/>
      <w:r/>
      <w:bookmarkStart w:id="632" w:name="_Toc151190174"/>
      <w:r/>
      <w:bookmarkStart w:id="633" w:name="_Toc305158815"/>
      <w:r/>
      <w:bookmarkStart w:id="634" w:name="_Toc265228385"/>
      <w:r/>
      <w:bookmarkStart w:id="635" w:name="_Toc305158889"/>
      <w:r/>
      <w:bookmarkStart w:id="636" w:name="_Toc164229242"/>
      <w:r/>
      <w:bookmarkStart w:id="637" w:name="_Toc151193789"/>
      <w:r/>
      <w:bookmarkStart w:id="638" w:name="_Toc164608816"/>
      <w:r/>
      <w:bookmarkStart w:id="639" w:name="_Toc150480785"/>
      <w:r/>
      <w:bookmarkStart w:id="640" w:name="_Toc127161461"/>
      <w:r/>
      <w:bookmarkStart w:id="641" w:name="_Toc264969237"/>
      <w:r/>
      <w:bookmarkStart w:id="642" w:name="_Toc127151547"/>
      <w:r/>
      <w:bookmarkStart w:id="643" w:name="_Toc164608661"/>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44" w:name="_Toc305158891"/>
      <w:r/>
      <w:bookmarkStart w:id="645" w:name="_Toc305158817"/>
      <w:r/>
      <w:bookmarkStart w:id="646" w:name="_Toc149720842"/>
      <w:r/>
      <w:bookmarkStart w:id="647" w:name="_Toc164608663"/>
      <w:r/>
      <w:bookmarkStart w:id="648" w:name="_Toc226965822"/>
      <w:r/>
      <w:bookmarkStart w:id="649" w:name="_Toc151193647"/>
      <w:r/>
      <w:bookmarkStart w:id="650" w:name="_Toc150774754"/>
      <w:r/>
      <w:bookmarkStart w:id="651" w:name="_Toc150774649"/>
      <w:r/>
      <w:bookmarkStart w:id="652" w:name="_Toc164229244"/>
      <w:r/>
      <w:bookmarkStart w:id="653" w:name="_Toc164608818"/>
      <w:r/>
      <w:bookmarkStart w:id="654" w:name="_Toc195842914"/>
      <w:r/>
      <w:bookmarkStart w:id="655" w:name="_Toc151190176"/>
      <w:r/>
      <w:bookmarkStart w:id="656" w:name="_Toc265228387"/>
      <w:r/>
      <w:bookmarkStart w:id="657" w:name="_Toc151193937"/>
      <w:r/>
      <w:bookmarkStart w:id="658" w:name="_Toc127151750"/>
      <w:r/>
      <w:bookmarkStart w:id="659" w:name="_Toc151193863"/>
      <w:r/>
      <w:bookmarkStart w:id="660" w:name="_Toc226309793"/>
      <w:r/>
      <w:bookmarkStart w:id="661" w:name="_Toc127161463"/>
      <w:r/>
      <w:bookmarkStart w:id="662" w:name="_Toc226965739"/>
      <w:r/>
      <w:bookmarkStart w:id="663" w:name="_Toc226337245"/>
      <w:r/>
      <w:bookmarkStart w:id="664" w:name="_Toc150509300"/>
      <w:r/>
      <w:bookmarkStart w:id="665" w:name="_Toc127151549"/>
      <w:r/>
      <w:bookmarkStart w:id="666" w:name="_Toc151193719"/>
      <w:r/>
      <w:bookmarkStart w:id="667" w:name="_Toc164351643"/>
      <w:r/>
      <w:bookmarkStart w:id="668" w:name="_Toc164229390"/>
      <w:r/>
      <w:bookmarkStart w:id="669" w:name="_Toc142311051"/>
      <w:r/>
      <w:bookmarkStart w:id="670" w:name="_Toc264969239"/>
      <w:r/>
      <w:bookmarkStart w:id="671" w:name="_Toc151193791"/>
      <w:r/>
      <w:bookmarkStart w:id="672" w:name="_Toc150480787"/>
      <w:r/>
      <w:bookmarkStart w:id="673" w:name="_Ref467307090"/>
      <w:r/>
      <w:bookmarkStart w:id="674" w:name="_Toc520356176"/>
      <w:r/>
      <w:bookmarkStart w:id="675" w:name="_Ref467306425"/>
      <w:r>
        <w:rPr>
          <w:rFonts w:hint="eastAsia" w:ascii="宋体" w:hAnsi="宋体" w:cs="宋体"/>
          <w:b/>
          <w:color w:val="auto"/>
          <w:sz w:val="24"/>
          <w:highlight w:val="none"/>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采购人或采购代理机构自中标人确定之日起2个工作日内，</w:t>
      </w:r>
      <w:r>
        <w:rPr>
          <w:rFonts w:hint="eastAsia" w:ascii="宋体" w:hAnsi="宋体" w:cs="宋体"/>
          <w:color w:val="auto"/>
          <w:sz w:val="24"/>
          <w:highlight w:val="none"/>
        </w:rPr>
        <w:t xml:space="preserve">在常州市政府采购网公告中标结果</w:t>
      </w:r>
      <w:r>
        <w:rPr>
          <w:rFonts w:hint="eastAsia" w:ascii="宋体" w:hAnsi="宋体" w:cs="宋体"/>
          <w:color w:val="auto"/>
          <w:sz w:val="24"/>
          <w:highlight w:val="none"/>
        </w:rPr>
        <w:t xml:space="preserve">，同时向中标人发出中标通知书，中标公告期限为1个工作日。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bookmarkStart w:id="676" w:name="_Toc150480788"/>
      <w:r/>
      <w:bookmarkStart w:id="677" w:name="_Ref467307204"/>
      <w:r/>
      <w:bookmarkStart w:id="678" w:name="_Toc164608664"/>
      <w:r/>
      <w:bookmarkStart w:id="679" w:name="_Toc151193864"/>
      <w:r/>
      <w:bookmarkStart w:id="680" w:name="_Toc150509301"/>
      <w:r/>
      <w:bookmarkStart w:id="681" w:name="_Toc150774650"/>
      <w:r/>
      <w:bookmarkStart w:id="682" w:name="_Ref467307062"/>
      <w:r/>
      <w:bookmarkStart w:id="683" w:name="_Toc142311052"/>
      <w:r/>
      <w:bookmarkStart w:id="684" w:name="_Toc265228388"/>
      <w:r/>
      <w:bookmarkStart w:id="685" w:name="_Toc226337246"/>
      <w:r/>
      <w:bookmarkStart w:id="686" w:name="_Toc127161464"/>
      <w:r/>
      <w:bookmarkStart w:id="687" w:name="_Toc164229245"/>
      <w:r/>
      <w:bookmarkStart w:id="688" w:name="_Toc164229391"/>
      <w:r/>
      <w:bookmarkStart w:id="689" w:name="_Toc164608819"/>
      <w:r/>
      <w:bookmarkStart w:id="690" w:name="_Toc164351644"/>
      <w:r/>
      <w:bookmarkStart w:id="691" w:name="_Toc226965823"/>
      <w:r/>
      <w:bookmarkStart w:id="692" w:name="_Toc127151550"/>
      <w:r/>
      <w:bookmarkStart w:id="693" w:name="_Toc226965740"/>
      <w:r/>
      <w:bookmarkStart w:id="694" w:name="_Toc151193792"/>
      <w:r/>
      <w:bookmarkStart w:id="695" w:name="_Toc151193720"/>
      <w:r/>
      <w:bookmarkStart w:id="696" w:name="_Toc195842915"/>
      <w:r/>
      <w:bookmarkStart w:id="697" w:name="_Toc151193938"/>
      <w:r/>
      <w:bookmarkStart w:id="698" w:name="_Toc127151751"/>
      <w:r/>
      <w:bookmarkStart w:id="699" w:name="_Ref467306978"/>
      <w:r/>
      <w:bookmarkStart w:id="700" w:name="_Toc151190177"/>
      <w:r/>
      <w:bookmarkStart w:id="701" w:name="_Toc305158892"/>
      <w:r/>
      <w:bookmarkStart w:id="702" w:name="_Toc264969240"/>
      <w:r/>
      <w:bookmarkStart w:id="703" w:name="_Toc150774755"/>
      <w:r/>
      <w:bookmarkStart w:id="704" w:name="_Toc151193648"/>
      <w:r/>
      <w:bookmarkStart w:id="705" w:name="_Toc305158818"/>
      <w:r/>
      <w:bookmarkStart w:id="706" w:name="_Toc226309794"/>
      <w:r/>
      <w:bookmarkStart w:id="707" w:name="_Toc520356175"/>
      <w:r/>
      <w:bookmarkStart w:id="708" w:name="_Toc149720843"/>
      <w:r/>
      <w:bookmarkStart w:id="709" w:name="_Ref467306377"/>
      <w:r>
        <w:rPr>
          <w:rFonts w:hint="eastAsia" w:ascii="宋体" w:hAnsi="宋体" w:cs="宋体"/>
          <w:b/>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"http://gks.mof.gov.cn/ztztz/zhengfucaigouguanli/201802/t20180201_2804589.htm" </w:instrText>
      </w:r>
      <w:r>
        <w:rPr>
          <w:rFonts w:hint="eastAsia" w:ascii="宋体" w:hAnsi="宋体" w:cs="宋体"/>
          <w:color w:val="auto"/>
          <w:highlight w:val="none"/>
        </w:rPr>
        <w:fldChar w:fldCharType="separate"/>
      </w:r>
      <w:r>
        <w:rPr>
          <w:rStyle w:val="1122"/>
          <w:rFonts w:hint="eastAsia" w:ascii="宋体" w:hAnsi="宋体" w:cs="宋体"/>
          <w:color w:val="auto"/>
          <w:highlight w:val="none"/>
        </w:rPr>
        <w:t xml:space="preserve">http://gk</w:t>
      </w:r>
      <w:bookmarkStart w:id="710" w:name="_Hlt100654014"/>
      <w:r>
        <w:rPr>
          <w:rStyle w:val="1122"/>
          <w:rFonts w:hint="eastAsia" w:ascii="宋体" w:hAnsi="宋体" w:cs="宋体"/>
          <w:color w:val="auto"/>
          <w:highlight w:val="none"/>
        </w:rPr>
        <w:t xml:space="preserve">s</w:t>
      </w:r>
      <w:bookmarkEnd w:id="710"/>
      <w:r>
        <w:rPr>
          <w:rStyle w:val="1122"/>
          <w:rFonts w:hint="eastAsia" w:ascii="宋体" w:hAnsi="宋体" w:cs="宋体"/>
          <w:color w:val="auto"/>
          <w:highlight w:val="none"/>
        </w:rPr>
        <w:t xml:space="preserve">.m</w:t>
      </w:r>
      <w:bookmarkStart w:id="711" w:name="_Hlt100653994"/>
      <w:r/>
      <w:bookmarkStart w:id="712" w:name="_Hlt100653993"/>
      <w:r>
        <w:rPr>
          <w:rStyle w:val="1122"/>
          <w:rFonts w:hint="eastAsia" w:ascii="宋体" w:hAnsi="宋体" w:cs="宋体"/>
          <w:color w:val="auto"/>
          <w:highlight w:val="none"/>
        </w:rPr>
        <w:t xml:space="preserve">o</w:t>
      </w:r>
      <w:bookmarkEnd w:id="711"/>
      <w:r/>
      <w:bookmarkEnd w:id="712"/>
      <w:r>
        <w:rPr>
          <w:rStyle w:val="1122"/>
          <w:rFonts w:hint="eastAsia" w:ascii="宋体" w:hAnsi="宋体" w:cs="宋体"/>
          <w:color w:val="auto"/>
          <w:highlight w:val="none"/>
        </w:rPr>
        <w:t xml:space="preserve">f.gov.cn/ztztz/zhengfucaigouguanli/201802/t20180201_2804589.htm</w:t>
      </w:r>
      <w:r>
        <w:rPr>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6"/>
          <w:szCs w:val="36"/>
          <w:highlight w:val="none"/>
        </w:rPr>
        <w:outlineLvl w:val="0"/>
      </w:pPr>
      <w:r/>
      <w:bookmarkStart w:id="713" w:name="_Toc353873664"/>
      <w:r/>
      <w:bookmarkStart w:id="714" w:name="_Toc305158896"/>
      <w:r/>
      <w:bookmarkStart w:id="715" w:name="_Toc226965827"/>
      <w:r/>
      <w:bookmarkStart w:id="716" w:name="_Toc127151554"/>
      <w:r/>
      <w:bookmarkStart w:id="717" w:name="_Toc265228392"/>
      <w:r/>
      <w:bookmarkStart w:id="718" w:name="_Toc142311056"/>
      <w:r/>
      <w:bookmarkStart w:id="719" w:name="_Toc353825544"/>
      <w:r/>
      <w:bookmarkStart w:id="720" w:name="_Toc226337250"/>
      <w:r/>
      <w:bookmarkStart w:id="721" w:name="_Toc305158822"/>
      <w:r/>
      <w:bookmarkStart w:id="722" w:name="_Toc353873934"/>
      <w:r/>
      <w:bookmarkStart w:id="723" w:name="_Toc264969244"/>
      <w:r/>
      <w:bookmarkStart w:id="724" w:name="_Toc150774759"/>
      <w:r/>
      <w:bookmarkStart w:id="725" w:name="_Toc150480792"/>
      <w:r>
        <w:rPr>
          <w:rFonts w:hint="eastAsia" w:ascii="宋体" w:hAnsi="宋体" w:cs="宋体"/>
          <w:color w:val="auto"/>
          <w:sz w:val="24"/>
          <w:highlight w:val="none"/>
        </w:rPr>
        <w:br w:type="page" w:clear="all"/>
      </w:r>
      <w:bookmarkStart w:id="726" w:name="_Toc99301421"/>
      <w:r>
        <w:rPr>
          <w:rFonts w:hint="eastAsia" w:ascii="宋体" w:hAnsi="宋体" w:cs="宋体"/>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bookmarkStart w:id="728" w:name="_Toc99301422"/>
      <w:r>
        <w:rPr>
          <w:rFonts w:hint="eastAsia" w:ascii="宋体" w:hAnsi="宋体" w:cs="宋体"/>
          <w:b/>
          <w:color w:val="auto"/>
          <w:sz w:val="24"/>
          <w:highlight w:val="none"/>
        </w:rPr>
        <w:t xml:space="preserve">一、资格审查程序</w:t>
      </w:r>
      <w:bookmarkEnd w:id="728"/>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投标人《资格证明文件》有任何一项不符合《资格审查要求》的，资格审查不合格，其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0"/>
          <w:numId w:val="11"/>
        </w:numPr>
        <w:ind w:left="0" w:firstLine="480"/>
        <w:spacing w:line="360" w:lineRule="auto"/>
        <w:tabs>
          <w:tab w:val="left" w:pos="284" w:leader="none"/>
          <w:tab w:val="clear" w:pos="900" w:leader="none"/>
        </w:tabs>
        <w:rPr>
          <w:rFonts w:hint="eastAsia" w:ascii="宋体" w:hAnsi="宋体" w:cs="宋体"/>
          <w:color w:val="auto"/>
          <w:sz w:val="24"/>
          <w:highlight w:val="none"/>
        </w:rPr>
        <w:outlineLvl w:val="1"/>
      </w:pPr>
      <w:r>
        <w:rPr>
          <w:rFonts w:hint="eastAsia" w:ascii="宋体" w:hAnsi="宋体" w:cs="宋体"/>
          <w:color w:val="auto"/>
          <w:sz w:val="24"/>
          <w:highlight w:val="none"/>
        </w:rPr>
        <w:t xml:space="preserve">资格审查合格的投标人不足3家的，不进行评标。</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tabs>
          <w:tab w:val="left" w:pos="360" w:leader="none"/>
          <w:tab w:val="left"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二、资格审查要求</w:t>
      </w:r>
      <w:r/>
    </w:p>
    <w:tbl>
      <w:tblPr>
        <w:tblStyle w:val="87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729" w:name="_Hlt487972895"/>
            <w:r/>
            <w:bookmarkEnd w:id="729"/>
            <w:r>
              <w:rPr>
                <w:rFonts w:hint="eastAsia" w:ascii="宋体" w:hAnsi="宋体" w:cs="宋体"/>
                <w:b/>
                <w:color w:val="auto"/>
                <w:sz w:val="24"/>
                <w:highlight w:val="none"/>
              </w:rPr>
              <w:t xml:space="preserve">序号</w:t>
            </w:r>
            <w:r/>
          </w:p>
        </w:tc>
        <w:tc>
          <w:tcPr>
            <w:tcW w:w="1067"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提供了符合招标文件要求的《投标人资格声明函》。</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highlight w:val="none"/>
              </w:rPr>
              <w:t xml:space="preserve">www.creditchina.gov.cn</w:t>
            </w:r>
            <w:r>
              <w:rPr>
                <w:rFonts w:hint="eastAsia" w:ascii="宋体" w:hAnsi="宋体" w:cs="宋体"/>
                <w:color w:val="auto"/>
                <w:sz w:val="24"/>
                <w:highlight w:val="none"/>
              </w:rPr>
              <w:t xml:space="preserve">、</w:t>
            </w:r>
            <w:r>
              <w:rPr>
                <w:rFonts w:hint="eastAsia" w:ascii="宋体" w:hAnsi="宋体" w:cs="宋体"/>
                <w:color w:val="auto"/>
                <w:highlight w:val="none"/>
              </w:rPr>
              <w:t xml:space="preserve">www.ccgp.gov.cn</w:t>
            </w:r>
            <w:r>
              <w:rPr>
                <w:rFonts w:hint="eastAsia" w:ascii="宋体" w:hAnsi="宋体" w:cs="宋体"/>
                <w:color w:val="auto"/>
                <w:sz w:val="24"/>
                <w:highlight w:val="none"/>
              </w:rPr>
              <w:t xml:space="preserve">）；</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1</w:t>
            </w:r>
            <w:r/>
          </w:p>
        </w:tc>
        <w:tc>
          <w:tcPr>
            <w:tcW w:w="1067"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596"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w:t>
            </w:r>
            <w:r>
              <w:rPr>
                <w:rFonts w:hint="eastAsia" w:ascii="宋体" w:hAnsi="宋体" w:cs="宋体"/>
                <w:color w:val="auto"/>
                <w:sz w:val="24"/>
                <w:highlight w:val="none"/>
              </w:rPr>
              <w:t xml:space="preserve">第一章《投标邀请》</w:t>
            </w:r>
            <w:r/>
          </w:p>
        </w:tc>
        <w:tc>
          <w:tcPr>
            <w:tcW w:w="882"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rFonts w:hint="eastAsia" w:ascii="宋体" w:hAnsi="宋体" w:cs="宋体"/>
          <w:color w:val="auto"/>
          <w:sz w:val="24"/>
          <w:highlight w:val="none"/>
        </w:rPr>
      </w:pPr>
      <w:r/>
      <w:bookmarkStart w:id="730" w:name="_Toc127151779"/>
      <w:r/>
      <w:bookmarkStart w:id="731" w:name="_Toc353873940"/>
      <w:r/>
      <w:bookmarkStart w:id="732" w:name="_Toc353825550"/>
      <w:r/>
      <w:bookmarkStart w:id="733" w:name="_Toc127161490"/>
      <w:r/>
      <w:bookmarkStart w:id="734" w:name="_Toc226965858"/>
      <w:r>
        <w:rPr>
          <w:rFonts w:hint="eastAsia" w:ascii="宋体" w:hAnsi="宋体" w:cs="宋体"/>
          <w:color w:val="auto"/>
          <w:sz w:val="24"/>
          <w:highlight w:val="none"/>
        </w:rPr>
        <w:br w:type="page" w:clear="all"/>
      </w:r>
      <w:r/>
    </w:p>
    <w:p>
      <w:pPr>
        <w:jc w:val="center"/>
        <w:spacing w:line="360" w:lineRule="auto"/>
        <w:rPr>
          <w:rFonts w:hint="eastAsia" w:ascii="宋体" w:hAnsi="宋体" w:cs="宋体"/>
          <w:b/>
          <w:color w:val="auto"/>
          <w:sz w:val="36"/>
          <w:szCs w:val="36"/>
          <w:highlight w:val="none"/>
        </w:rPr>
        <w:outlineLvl w:val="0"/>
      </w:pPr>
      <w:r/>
      <w:bookmarkStart w:id="735" w:name="_Toc99301423"/>
      <w:r>
        <w:rPr>
          <w:rFonts w:hint="eastAsia" w:ascii="宋体" w:hAnsi="宋体" w:cs="宋体"/>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color w:val="auto"/>
          <w:highlight w:val="none"/>
        </w:rPr>
        <w:outlineLvl w:val="1"/>
      </w:pPr>
      <w:r>
        <w:rPr>
          <w:rFonts w:hint="eastAsia" w:ascii="宋体" w:hAnsi="宋体" w:cs="宋体"/>
          <w:b/>
          <w:color w:val="auto"/>
          <w:sz w:val="24"/>
          <w:highlight w:val="none"/>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color w:val="auto"/>
          <w:sz w:val="24"/>
          <w:highlight w:val="none"/>
        </w:rPr>
        <w:outlineLvl w:val="1"/>
      </w:pPr>
      <w:r/>
      <w:bookmarkStart w:id="737" w:name="_Toc164229236"/>
      <w:r/>
      <w:bookmarkStart w:id="738" w:name="_Toc164608655"/>
      <w:r/>
      <w:bookmarkStart w:id="739" w:name="_Toc150480779"/>
      <w:r/>
      <w:bookmarkStart w:id="740" w:name="_Toc164351635"/>
      <w:r/>
      <w:bookmarkStart w:id="741" w:name="_Toc226965731"/>
      <w:r/>
      <w:bookmarkStart w:id="742" w:name="_Toc151193783"/>
      <w:r/>
      <w:bookmarkStart w:id="743" w:name="_Toc127151742"/>
      <w:r/>
      <w:bookmarkStart w:id="744" w:name="_Toc226309785"/>
      <w:r/>
      <w:bookmarkStart w:id="745" w:name="_Toc142311043"/>
      <w:r/>
      <w:bookmarkStart w:id="746" w:name="_Toc151193639"/>
      <w:r/>
      <w:bookmarkStart w:id="747" w:name="_Toc151193929"/>
      <w:r/>
      <w:bookmarkStart w:id="748" w:name="_Toc305158809"/>
      <w:r/>
      <w:bookmarkStart w:id="749" w:name="_Toc150509292"/>
      <w:r/>
      <w:bookmarkStart w:id="750" w:name="_Toc127151541"/>
      <w:r/>
      <w:bookmarkStart w:id="751" w:name="_Toc127161455"/>
      <w:r/>
      <w:bookmarkStart w:id="752" w:name="_Toc164608810"/>
      <w:r/>
      <w:bookmarkStart w:id="753" w:name="_Toc264969231"/>
      <w:r/>
      <w:bookmarkStart w:id="754" w:name="_Toc195842906"/>
      <w:r/>
      <w:bookmarkStart w:id="755" w:name="_Toc151193855"/>
      <w:r/>
      <w:bookmarkStart w:id="756" w:name="_Toc151193711"/>
      <w:r/>
      <w:bookmarkStart w:id="757" w:name="_Toc226337237"/>
      <w:r/>
      <w:bookmarkStart w:id="758" w:name="_Toc226965814"/>
      <w:r/>
      <w:bookmarkStart w:id="759" w:name="_Toc149720834"/>
      <w:r/>
      <w:bookmarkStart w:id="760" w:name="_Toc151190168"/>
      <w:r/>
      <w:bookmarkStart w:id="761" w:name="_Toc150774641"/>
      <w:r/>
      <w:bookmarkStart w:id="762" w:name="_Toc265228379"/>
      <w:r/>
      <w:bookmarkStart w:id="763" w:name="_Toc150774746"/>
      <w:r/>
      <w:bookmarkStart w:id="764" w:name="_Toc164229382"/>
      <w:r/>
      <w:bookmarkStart w:id="765" w:name="_Toc305158883"/>
      <w:r/>
      <w:bookmarkStart w:id="766" w:name="_Toc353873941"/>
      <w:r/>
      <w:bookmarkStart w:id="767" w:name="_Toc353825551"/>
      <w:r/>
      <w:bookmarkStart w:id="768" w:name="_Toc353825545"/>
      <w:r/>
      <w:bookmarkStart w:id="769" w:name="_Toc305158897"/>
      <w:r/>
      <w:bookmarkStart w:id="770" w:name="_Toc142311057"/>
      <w:r/>
      <w:bookmarkStart w:id="771" w:name="_Toc226337251"/>
      <w:r/>
      <w:bookmarkStart w:id="772" w:name="_Toc353873935"/>
      <w:r/>
      <w:bookmarkStart w:id="773" w:name="_Toc305158823"/>
      <w:r/>
      <w:bookmarkStart w:id="774" w:name="_Toc195842920"/>
      <w:r/>
      <w:bookmarkStart w:id="775" w:name="_Toc353873665"/>
      <w:r/>
      <w:bookmarkStart w:id="776" w:name="_Toc127151555"/>
      <w:r/>
      <w:bookmarkStart w:id="777" w:name="_Toc150774760"/>
      <w:r/>
      <w:bookmarkStart w:id="778" w:name="_Toc150480793"/>
      <w:r/>
      <w:bookmarkStart w:id="779" w:name="_Toc226965828"/>
      <w:r/>
      <w:bookmarkStart w:id="780" w:name="_Toc264969245"/>
      <w:r/>
      <w:bookmarkStart w:id="781" w:name="_Toc265228393"/>
      <w:r>
        <w:rPr>
          <w:rFonts w:hint="eastAsia" w:ascii="宋体" w:hAnsi="宋体" w:cs="宋体"/>
          <w:b/>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 w:val="clear" w:pos="1589"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87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976"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2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按招标文件要求提供投标函、法定代表人资格证明书、授权委托书和政府采购供应商信用承诺书；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投标完整性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投标报价未超过招标文件中规定的项目/采购包预算金额或者项目/采购包最高限价；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投标文件未出现可选择性或可调整的报价（招标文件另有规定的除外）；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投标有效期</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w:t>
            </w:r>
            <w:r>
              <w:rPr>
                <w:rFonts w:hint="eastAsia" w:ascii="宋体" w:hAnsi="宋体" w:cs="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报价合理，或</w:t>
            </w:r>
            <w:r>
              <w:rPr>
                <w:rFonts w:hint="eastAsia" w:ascii="宋体" w:hAnsi="宋体" w:cs="宋体"/>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串通投标</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不存在《政府采购货物和服务招标投标管理办法》视为投标人串通投标的情形：</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（一）不同投标人的投标文件由同一单位或者个人编制</w:t>
            </w:r>
            <w:r>
              <w:rPr>
                <w:rFonts w:hint="eastAsia" w:ascii="宋体" w:hAnsi="宋体" w:cs="宋体"/>
                <w:color w:val="auto"/>
                <w:sz w:val="24"/>
                <w:highlight w:val="none"/>
              </w:rPr>
              <w:t xml:space="preserve">（包含使用同一MAC地址的计算机制作电子响应文件的情形）</w:t>
            </w:r>
            <w:r>
              <w:rPr>
                <w:rFonts w:hint="eastAsia" w:ascii="宋体" w:hAnsi="宋体" w:cs="宋体"/>
                <w:color w:val="auto"/>
                <w:sz w:val="24"/>
                <w:highlight w:val="none"/>
              </w:rPr>
              <w:t xml:space="preserve">；</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（二）不同投标人委托同一单位或者个人办理投标事宜</w:t>
            </w:r>
            <w:r>
              <w:rPr>
                <w:rFonts w:hint="eastAsia" w:ascii="宋体" w:hAnsi="宋体" w:cs="宋体"/>
                <w:color w:val="auto"/>
                <w:sz w:val="24"/>
                <w:highlight w:val="none"/>
              </w:rPr>
              <w:t xml:space="preserve">（包含使用同一MAC地址的计算机提交或者解密电子响应文件的情形）</w:t>
            </w:r>
            <w:r>
              <w:rPr>
                <w:rFonts w:hint="eastAsia" w:ascii="宋体" w:hAnsi="宋体" w:cs="宋体"/>
                <w:color w:val="auto"/>
                <w:sz w:val="24"/>
                <w:highlight w:val="none"/>
              </w:rPr>
              <w:t xml:space="preserve">；</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（三）不同投标人的投标文件载明的项目管理成员或者联系人员为同一人；</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（四）不同投标人的投标文件异常一致或者投标报价呈规律 性差异；</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（五）不同投标人的投标文件相互混装；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976"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20" w:type="pct"/>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cs="宋体"/>
          <w:color w:val="auto"/>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color w:val="auto"/>
          <w:sz w:val="24"/>
          <w:highlight w:val="none"/>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评审过程中出现下列情形之一的，评标委员会应当启动异常低价投标审查程序：</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投标报价低于采购项目预算50%的，即投标报价＜采购项目预算×50%；</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投标报价低于采购项目最高限价45%的，即投标报价＜采购项目最高限价×45%；</w:t>
      </w:r>
      <w:r/>
    </w:p>
    <w:p>
      <w:pPr>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评标委员会认定的供应商报价过低、有可能影响产品质量或者不能诚信履约的其他情形。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%的扣除，用扣除后的价格参加评审。</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残疾人福利性单位按招标文件要求提供了《残疾人福利性单位声明函》（见附件）的，视同小微企业。</w:t>
      </w:r>
      <w:r/>
    </w:p>
    <w:p>
      <w:pPr>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投标文件的比较和评价</w:t>
      </w:r>
      <w:bookmarkEnd w:id="766"/>
      <w:r/>
      <w:bookmarkEnd w:id="767"/>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w:t>
      </w:r>
      <w:r>
        <w:rPr>
          <w:rFonts w:hint="eastAsia" w:ascii="宋体" w:hAnsi="宋体" w:cs="宋体"/>
          <w:color w:val="auto"/>
          <w:sz w:val="24"/>
          <w:highlight w:val="none"/>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确定</w:t>
      </w:r>
      <w:bookmarkStart w:id="783" w:name="_Toc226965819"/>
      <w:r/>
      <w:bookmarkStart w:id="784" w:name="_Toc164351640"/>
      <w:r/>
      <w:bookmarkStart w:id="785" w:name="_Toc150480784"/>
      <w:r/>
      <w:bookmarkStart w:id="786" w:name="_Toc305158814"/>
      <w:r/>
      <w:bookmarkStart w:id="787" w:name="_Toc151193934"/>
      <w:r/>
      <w:bookmarkStart w:id="788" w:name="_Toc264969236"/>
      <w:r/>
      <w:bookmarkStart w:id="789" w:name="_Toc151193644"/>
      <w:r/>
      <w:bookmarkStart w:id="790" w:name="_Toc151193860"/>
      <w:r/>
      <w:bookmarkStart w:id="791" w:name="_Toc226965736"/>
      <w:r/>
      <w:bookmarkStart w:id="792" w:name="_Toc520356170"/>
      <w:r/>
      <w:bookmarkStart w:id="793" w:name="_Toc127161460"/>
      <w:r/>
      <w:bookmarkStart w:id="794" w:name="_Toc164608660"/>
      <w:r/>
      <w:bookmarkStart w:id="795" w:name="_Toc305158888"/>
      <w:r/>
      <w:bookmarkStart w:id="796" w:name="_Toc127151546"/>
      <w:r/>
      <w:bookmarkStart w:id="797" w:name="_Toc164229241"/>
      <w:r/>
      <w:bookmarkStart w:id="798" w:name="_Toc226337242"/>
      <w:r/>
      <w:bookmarkStart w:id="799" w:name="_Toc151190173"/>
      <w:r/>
      <w:bookmarkStart w:id="800" w:name="_Toc265228384"/>
      <w:r/>
      <w:bookmarkStart w:id="801" w:name="_Toc151193788"/>
      <w:r/>
      <w:bookmarkStart w:id="802" w:name="_Toc150774751"/>
      <w:r/>
      <w:bookmarkStart w:id="803" w:name="_Toc150509297"/>
      <w:r/>
      <w:bookmarkStart w:id="804" w:name="_Toc150774646"/>
      <w:r/>
      <w:bookmarkStart w:id="805" w:name="_Toc127151747"/>
      <w:r/>
      <w:bookmarkStart w:id="806" w:name="_Toc195842911"/>
      <w:r/>
      <w:bookmarkStart w:id="807" w:name="_Toc151193716"/>
      <w:r/>
      <w:bookmarkStart w:id="808" w:name="_Toc164229387"/>
      <w:r/>
      <w:bookmarkStart w:id="809" w:name="_Toc149720839"/>
      <w:r/>
      <w:bookmarkStart w:id="810" w:name="_Toc226309790"/>
      <w:r/>
      <w:bookmarkStart w:id="811" w:name="_Toc164608815"/>
      <w:r/>
      <w:bookmarkStart w:id="812" w:name="_Ref467307010"/>
      <w:r/>
      <w:bookmarkStart w:id="813" w:name="_Toc142311048"/>
      <w:r>
        <w:rPr>
          <w:rFonts w:hint="eastAsia" w:ascii="宋体" w:hAnsi="宋体" w:cs="宋体"/>
          <w:b/>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6"/>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highlight w:val="none"/>
        </w:rPr>
        <w:t xml:space="preserve">■</w:t>
      </w:r>
      <w:r>
        <w:rPr>
          <w:rFonts w:hAnsi="宋体" w:cs="宋体"/>
          <w:color w:val="auto"/>
          <w:sz w:val="24"/>
          <w:szCs w:val="24"/>
          <w:highlight w:val="none"/>
        </w:rPr>
        <w:t xml:space="preserve">随机抽取</w:t>
      </w:r>
      <w:r/>
    </w:p>
    <w:p>
      <w:pPr>
        <w:pStyle w:val="1086"/>
        <w:ind w:firstLine="480"/>
        <w:spacing w:line="360" w:lineRule="auto"/>
        <w:tabs>
          <w:tab w:val="left" w:pos="0" w:leader="none"/>
          <w:tab w:val="left" w:pos="567"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□其他方式，具体要求：</w:t>
      </w:r>
      <w:r>
        <w:rPr>
          <w:rFonts w:hAnsi="宋体" w:cs="宋体"/>
          <w:color w:val="auto"/>
          <w:sz w:val="24"/>
          <w:highlight w:val="none"/>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ascii="宋体" w:hAnsi="宋体"/>
          <w:b/>
          <w:color w:val="auto"/>
          <w:sz w:val="24"/>
          <w:highlight w:val="none"/>
        </w:rPr>
      </w:pPr>
      <w:r>
        <w:rPr>
          <w:rFonts w:ascii="宋体" w:hAnsi="宋体"/>
          <w:b/>
          <w:color w:val="auto"/>
          <w:sz w:val="24"/>
          <w:highlight w:val="none"/>
        </w:rPr>
        <w:br w:type="page" w:clear="all"/>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二、评标标准</w:t>
      </w:r>
      <w:r/>
    </w:p>
    <w:p>
      <w:pPr>
        <w:spacing w:line="360" w:lineRule="auto"/>
        <w:tabs>
          <w:tab w:val="left" w:pos="360" w:leader="none"/>
          <w:tab w:val="left" w:pos="900"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r>
      <w:r/>
    </w:p>
    <w:tbl>
      <w:tblPr>
        <w:tblStyle w:val="877"/>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62"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W w:w="913"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3978"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2440" w:type="dxa"/>
            <w:vAlign w:val="center"/>
            <w:textDirection w:val="lrTb"/>
            <w:noWrap w:val="false"/>
          </w:tcPr>
          <w:p>
            <w:pPr>
              <w:pStyle w:val="1291"/>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31"/>
        </w:trPr>
        <w:tc>
          <w:tcPr>
            <w:tcW w:w="835" w:type="dxa"/>
            <w:vAlign w:val="center"/>
            <w:textDirection w:val="lrTb"/>
            <w:noWrap w:val="false"/>
          </w:tcPr>
          <w:p>
            <w:pPr>
              <w:ind w:firstLine="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1462"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tc>
        <w:tc>
          <w:tcPr>
            <w:tcW w:w="913"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39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满足招标文件要求且投标价格最低的投标报价为评标基准价，其价格分为满分。其他投标人的价格分统一按照下列公式计算：</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投标报价得分＝（评标基准价/投标报价）×分值。</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若报价过低，经专家评估认定该报价存在显著不合理性，且可能对项目质量产生风险的，此报价将被判定为无效报价。 </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此处投标报价指经过报价修正，及因落实政府采购政策进行价格调整后的报价，详见第三章《评标方法和评标标准》2.4及2.5。</w:t>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62"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397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w:t>
            </w:r>
            <w:r/>
          </w:p>
        </w:tc>
        <w:tc>
          <w:tcPr>
            <w:tcW w:w="1462"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tc>
        <w:tc>
          <w:tcPr>
            <w:tcW w:w="913"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投标人提供的项目实施方案，内容包括但限于</w:t>
            </w:r>
            <w:r>
              <w:rPr>
                <w:rFonts w:hint="eastAsia" w:ascii="宋体" w:hAnsi="宋体" w:eastAsia="宋体" w:cs="宋体"/>
                <w:bCs/>
                <w:color w:val="auto"/>
                <w:sz w:val="24"/>
                <w:szCs w:val="24"/>
                <w:highlight w:val="none"/>
              </w:rPr>
              <w:t xml:space="preserve">项目实施计划、项目预计工期、突发事件预案、技术设计方案、系统部署措施等方面内容</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（1）实施方案步骤清晰，验收、进度安排科学、合理，得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（2）实施方案步骤较清晰，验收、进度安排较科学、合理，得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（3）实施方案步骤一般，验收、进度安排一般，得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（4）无实施方案，或实施方案与项目不符不得分。</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W w:w="1462"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质量保障方案</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投标人提供的</w:t>
            </w:r>
            <w:r>
              <w:rPr>
                <w:rFonts w:hint="eastAsia" w:ascii="宋体" w:hAnsi="宋体" w:eastAsia="宋体" w:cs="宋体"/>
                <w:bCs/>
                <w:color w:val="auto"/>
                <w:sz w:val="24"/>
                <w:szCs w:val="24"/>
                <w:highlight w:val="none"/>
              </w:rPr>
              <w:t xml:space="preserve">质量保障方案</w:t>
            </w:r>
            <w:r>
              <w:rPr>
                <w:rFonts w:hint="eastAsia" w:ascii="宋体" w:hAnsi="宋体" w:eastAsia="宋体" w:cs="宋体"/>
                <w:color w:val="auto"/>
                <w:sz w:val="24"/>
                <w:szCs w:val="24"/>
                <w:highlight w:val="none"/>
              </w:rPr>
              <w:t xml:space="preserve">，内容包括但限于</w:t>
            </w:r>
            <w:r>
              <w:rPr>
                <w:rFonts w:hint="eastAsia" w:ascii="宋体" w:hAnsi="宋体" w:eastAsia="宋体" w:cs="宋体"/>
                <w:bCs/>
                <w:color w:val="auto"/>
                <w:sz w:val="24"/>
                <w:szCs w:val="24"/>
                <w:highlight w:val="none"/>
              </w:rPr>
              <w:t xml:space="preserve">质量保障体系、质量管理制度、软件过程质量管控、相关保障方案等</w:t>
            </w:r>
            <w:r>
              <w:rPr>
                <w:rFonts w:hint="eastAsia" w:ascii="宋体" w:hAnsi="宋体" w:eastAsia="宋体" w:cs="宋体"/>
                <w:bCs/>
                <w:color w:val="auto"/>
                <w:sz w:val="24"/>
                <w:szCs w:val="24"/>
                <w:highlight w:val="none"/>
                <w:lang w:eastAsia="zh-CN"/>
              </w:rPr>
              <w:t xml:space="preserve">。</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1、方案涵盖上述内容且完整、科学、合理，符合采购项目相关实施需求得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2、方案内容较为完整，基本符合采购项目相关实施需求得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3、方案内容缺失，不符合采购项目相关实施需求得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4、方案差或无提供方案得0分。</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shd w:val="clear" w:color="auto" w:fill="auto"/>
            <w:tcW w:w="1462"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培训方案</w:t>
            </w:r>
            <w:r/>
          </w:p>
        </w:tc>
        <w:tc>
          <w:tcPr>
            <w:shd w:val="clear" w:color="auto" w:fill="auto"/>
            <w:tcW w:w="913" w:type="dxa"/>
            <w:vAlign w:val="center"/>
            <w:textDirection w:val="lrTb"/>
            <w:noWrap w:val="false"/>
          </w:tcPr>
          <w:p>
            <w:pPr>
              <w:ind w:firstLine="28"/>
              <w:jc w:val="center"/>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8</w:t>
            </w:r>
            <w:r/>
          </w:p>
        </w:tc>
        <w:tc>
          <w:tcPr>
            <w:shd w:val="clear" w:color="auto" w:fill="auto"/>
            <w:tcW w:w="3978" w:type="dxa"/>
            <w:vAlign w:val="center"/>
            <w:textDirection w:val="lrTb"/>
            <w:noWrap w:val="false"/>
          </w:tcPr>
          <w:p>
            <w:pPr>
              <w:ind w:firstLine="28"/>
              <w:jc w:val="both"/>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投标人提供的</w:t>
            </w:r>
            <w:r>
              <w:rPr>
                <w:rFonts w:hint="eastAsia" w:ascii="宋体" w:hAnsi="宋体" w:eastAsia="宋体" w:cs="宋体"/>
                <w:bCs/>
                <w:color w:val="auto"/>
                <w:sz w:val="24"/>
                <w:szCs w:val="24"/>
                <w:highlight w:val="none"/>
              </w:rPr>
              <w:t xml:space="preserve">培训方案</w:t>
            </w:r>
            <w:r>
              <w:rPr>
                <w:rFonts w:hint="eastAsia" w:ascii="宋体" w:hAnsi="宋体" w:eastAsia="宋体" w:cs="宋体"/>
                <w:color w:val="auto"/>
                <w:sz w:val="24"/>
                <w:szCs w:val="24"/>
                <w:highlight w:val="none"/>
              </w:rPr>
              <w:t xml:space="preserve">，内容包括但限于</w:t>
            </w:r>
            <w:r>
              <w:rPr>
                <w:rFonts w:hint="eastAsia" w:ascii="宋体" w:hAnsi="宋体" w:eastAsia="宋体" w:cs="宋体"/>
                <w:bCs/>
                <w:color w:val="auto"/>
                <w:sz w:val="24"/>
                <w:szCs w:val="24"/>
                <w:highlight w:val="none"/>
              </w:rPr>
              <w:t xml:space="preserve">培训方式、培训目标、培训计划、培训内容、培训课程等</w:t>
            </w:r>
            <w:r>
              <w:rPr>
                <w:rFonts w:hint="eastAsia" w:ascii="宋体" w:hAnsi="宋体" w:eastAsia="宋体" w:cs="宋体"/>
                <w:bCs/>
                <w:color w:val="auto"/>
                <w:sz w:val="24"/>
                <w:szCs w:val="24"/>
                <w:highlight w:val="none"/>
                <w:lang w:eastAsia="zh-CN"/>
              </w:rPr>
              <w:t xml:space="preserve">。</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1、方案涵盖上述内容且完整、科学、合理，符合采购项目相关售后需求得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2、方案内容较为完整，基本符合采购项目相关售后需求得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3、方案内容缺失，不符合采购项目相关售后需求得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28"/>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4、方案差或无提供方案得0分。</w:t>
            </w:r>
            <w:r/>
          </w:p>
        </w:tc>
        <w:tc>
          <w:tcPr>
            <w:shd w:val="clear" w:color="auto" w:fill="auto"/>
            <w:tcW w:w="2440" w:type="dxa"/>
            <w:vAlign w:val="center"/>
            <w:textDirection w:val="lrTb"/>
            <w:noWrap w:val="false"/>
          </w:tcPr>
          <w:p>
            <w:pPr>
              <w:spacing w:line="36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p>
        </w:tc>
        <w:tc>
          <w:tcPr>
            <w:tcW w:w="1462"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投标人提供的售后服务方案，内容包括但不限于售后服务承诺、服务保障措施、故障排除流程及维护期内外的后续技术支持和维护能力方案等内容。</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1、方案涵盖上述内容且完整、科学、合理，符合采购项目相关售后需求得</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2、方案内容较为完整，基本符合采购项目相关售后需求得</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spacing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3、方案内容缺失，不符合采购项目相关售后需求得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4、方案差或无提供方案得0分。</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62"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w:t>
            </w:r>
            <w:r/>
          </w:p>
        </w:tc>
        <w:tc>
          <w:tcPr>
            <w:tcW w:w="397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5"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p>
        </w:tc>
        <w:tc>
          <w:tcPr>
            <w:tcW w:w="1462" w:type="dxa"/>
            <w:vAlign w:val="center"/>
            <w:textDirection w:val="lrTb"/>
            <w:noWrap w:val="false"/>
          </w:tcPr>
          <w:p>
            <w:pPr>
              <w:jc w:val="center"/>
              <w:spacing w:line="3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产品性能、技术指标</w:t>
            </w:r>
            <w:r/>
          </w:p>
        </w:tc>
        <w:tc>
          <w:tcPr>
            <w:tcW w:w="913"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根据采购需求中“</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系统内容及要求</w:t>
            </w:r>
            <w:r>
              <w:rPr>
                <w:rFonts w:hint="eastAsia" w:ascii="宋体" w:hAnsi="宋体" w:eastAsia="宋体" w:cs="宋体"/>
                <w:color w:val="auto"/>
                <w:sz w:val="24"/>
                <w:szCs w:val="24"/>
                <w:highlight w:val="none"/>
              </w:rPr>
              <w:t xml:space="preserve">”的响应情况进行打分，完全满足或优于招要求的，得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分。标注“▲”的内容为重要指标，一条不满足扣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分，其他非重要参数负偏离的，则每项扣</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分，扣完为止。</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标注“</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”项需</w:t>
            </w:r>
            <w:r>
              <w:rPr>
                <w:rFonts w:hint="eastAsia" w:ascii="宋体" w:hAnsi="宋体" w:eastAsia="宋体" w:cs="宋体"/>
                <w:b/>
                <w:color w:val="auto"/>
                <w:sz w:val="24"/>
                <w:szCs w:val="24"/>
                <w:highlight w:val="none"/>
              </w:rPr>
              <w:t xml:space="preserve">提供对应功能的详细介绍、软件界面截图</w:t>
            </w:r>
            <w:r>
              <w:rPr>
                <w:rFonts w:hint="eastAsia" w:ascii="宋体" w:hAnsi="宋体" w:eastAsia="宋体" w:cs="宋体"/>
                <w:b/>
                <w:color w:val="auto"/>
                <w:sz w:val="24"/>
                <w:szCs w:val="24"/>
                <w:highlight w:val="none"/>
                <w:lang w:val="en-US" w:eastAsia="zh-CN"/>
              </w:rPr>
              <w:t xml:space="preserve">或其证明文件</w:t>
            </w:r>
            <w:r>
              <w:rPr>
                <w:rFonts w:hint="eastAsia" w:ascii="宋体" w:hAnsi="宋体" w:eastAsia="宋体" w:cs="宋体"/>
                <w:b/>
                <w:color w:val="auto"/>
                <w:sz w:val="24"/>
                <w:szCs w:val="24"/>
                <w:highlight w:val="none"/>
              </w:rPr>
              <w:t xml:space="preserve">等真实资料作为佐证，否则不得分。</w:t>
            </w:r>
            <w:r/>
          </w:p>
        </w:tc>
      </w:tr>
      <w:tr>
        <w:trPr/>
        <w:tc>
          <w:tcPr>
            <w:shd w:val="clear" w:color="auto" w:fill="auto"/>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3.2</w:t>
            </w:r>
            <w:r/>
          </w:p>
        </w:tc>
        <w:tc>
          <w:tcPr>
            <w:tcW w:w="1462" w:type="dxa"/>
            <w:vAlign w:val="center"/>
            <w:textDirection w:val="lrTb"/>
            <w:noWrap w:val="false"/>
          </w:tcPr>
          <w:p>
            <w:pPr>
              <w:jc w:val="center"/>
              <w:spacing w:line="36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演示</w:t>
            </w:r>
            <w:r/>
          </w:p>
        </w:tc>
        <w:tc>
          <w:tcPr>
            <w:tcW w:w="913"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根据投标人按照技术标准与要求中“要求</w:t>
            </w:r>
            <w:r>
              <w:rPr>
                <w:rFonts w:hint="eastAsia" w:ascii="宋体" w:hAnsi="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rPr>
              <w:t xml:space="preserve">演示”内容对项目功能现场系统演示进行评审：</w:t>
            </w:r>
            <w:r/>
          </w:p>
          <w:p>
            <w:pPr>
              <w:numPr>
                <w:ilvl w:val="0"/>
                <w:numId w:val="0"/>
              </w:numPr>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具体演示点如下：</w:t>
            </w:r>
            <w:r/>
          </w:p>
          <w:p>
            <w:pPr>
              <w:numPr>
                <w:ilvl w:val="0"/>
                <w:numId w:val="0"/>
              </w:numPr>
              <w:ind w:left="120"/>
              <w:keepLines w:val="0"/>
              <w:keepNext w:val="0"/>
              <w:pageBreakBefore w:val="0"/>
              <w:spacing w:line="3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　</w:t>
            </w:r>
            <w:r>
              <w:rPr>
                <w:rFonts w:ascii="宋体" w:hAnsi="宋体" w:eastAsia="宋体" w:cs="宋体"/>
                <w:color w:val="auto"/>
                <w:sz w:val="24"/>
                <w:szCs w:val="24"/>
                <w:highlight w:val="none"/>
              </w:rPr>
              <w:t xml:space="preserve">电子授权书：提供完整的电子授权书在线签署与管理功能。支持用户远程填写并授权他人代领报告，同时为管理</w:t>
            </w:r>
            <w:bookmarkStart w:id="909" w:name="_GoBack"/>
            <w:r/>
            <w:bookmarkEnd w:id="909"/>
            <w:r>
              <w:rPr>
                <w:rFonts w:ascii="宋体" w:hAnsi="宋体" w:eastAsia="宋体" w:cs="宋体"/>
                <w:color w:val="auto"/>
                <w:sz w:val="24"/>
                <w:szCs w:val="24"/>
                <w:highlight w:val="none"/>
              </w:rPr>
              <w:t xml:space="preserve">方提供授权记录查询与核验能力，兼顾便捷与风控。</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②　</w:t>
            </w:r>
            <w:r>
              <w:rPr>
                <w:rFonts w:hint="eastAsia" w:ascii="宋体" w:hAnsi="宋体" w:eastAsia="宋体" w:cs="宋体"/>
                <w:color w:val="auto"/>
                <w:sz w:val="24"/>
                <w:szCs w:val="24"/>
                <w:highlight w:val="none"/>
              </w:rPr>
              <w:t xml:space="preserve">全员</w:t>
            </w:r>
            <w:r>
              <w:rPr>
                <w:rFonts w:ascii="宋体" w:hAnsi="宋体" w:eastAsia="宋体" w:cs="宋体"/>
                <w:color w:val="auto"/>
                <w:sz w:val="24"/>
                <w:szCs w:val="24"/>
                <w:highlight w:val="none"/>
              </w:rPr>
              <w:t xml:space="preserve">全流程管理：</w:t>
            </w:r>
            <w:r>
              <w:rPr>
                <w:rFonts w:hint="eastAsia" w:ascii="宋体" w:hAnsi="宋体" w:eastAsia="宋体" w:cs="宋体"/>
                <w:color w:val="auto"/>
                <w:sz w:val="24"/>
                <w:szCs w:val="24"/>
                <w:highlight w:val="none"/>
              </w:rPr>
              <w:t xml:space="preserve">支持主任手机端查看</w:t>
            </w:r>
            <w:r>
              <w:rPr>
                <w:rFonts w:hint="eastAsia" w:ascii="宋体" w:hAnsi="宋体" w:cs="宋体"/>
                <w:color w:val="auto"/>
                <w:sz w:val="24"/>
                <w:szCs w:val="24"/>
                <w:highlight w:val="none"/>
                <w:lang w:val="en-US" w:eastAsia="zh-CN"/>
              </w:rPr>
              <w:t xml:space="preserve">全部</w:t>
            </w:r>
            <w:r>
              <w:rPr>
                <w:rFonts w:ascii="宋体" w:hAnsi="宋体" w:eastAsia="宋体" w:cs="宋体"/>
                <w:color w:val="auto"/>
                <w:sz w:val="24"/>
                <w:szCs w:val="24"/>
                <w:highlight w:val="none"/>
              </w:rPr>
              <w:t xml:space="preserve">体检人员的档案、状态及体检进度，快速查询</w:t>
            </w:r>
            <w:r>
              <w:rPr>
                <w:rFonts w:hint="eastAsia" w:ascii="宋体" w:hAnsi="宋体" w:eastAsia="宋体" w:cs="宋体"/>
                <w:color w:val="auto"/>
                <w:sz w:val="24"/>
                <w:szCs w:val="24"/>
                <w:highlight w:val="none"/>
              </w:rPr>
              <w:t xml:space="preserve">全员</w:t>
            </w:r>
            <w:r>
              <w:rPr>
                <w:rFonts w:ascii="宋体" w:hAnsi="宋体" w:eastAsia="宋体" w:cs="宋体"/>
                <w:color w:val="auto"/>
                <w:sz w:val="24"/>
                <w:szCs w:val="24"/>
                <w:highlight w:val="none"/>
              </w:rPr>
              <w:t xml:space="preserve">的体检项目与报告。提供</w:t>
            </w:r>
            <w:r>
              <w:rPr>
                <w:rFonts w:hint="eastAsia" w:ascii="宋体" w:hAnsi="宋体" w:eastAsia="宋体" w:cs="宋体"/>
                <w:color w:val="auto"/>
                <w:sz w:val="24"/>
                <w:szCs w:val="24"/>
                <w:highlight w:val="none"/>
              </w:rPr>
              <w:t xml:space="preserve">全员</w:t>
            </w:r>
            <w:r>
              <w:rPr>
                <w:rFonts w:ascii="宋体" w:hAnsi="宋体" w:eastAsia="宋体" w:cs="宋体"/>
                <w:color w:val="auto"/>
                <w:sz w:val="24"/>
                <w:szCs w:val="24"/>
                <w:highlight w:val="none"/>
              </w:rPr>
              <w:t xml:space="preserve">状态变更、加急等功能，实现对</w:t>
            </w:r>
            <w:r>
              <w:rPr>
                <w:rFonts w:hint="eastAsia" w:ascii="宋体" w:hAnsi="宋体" w:eastAsia="宋体" w:cs="宋体"/>
                <w:color w:val="auto"/>
                <w:sz w:val="24"/>
                <w:szCs w:val="24"/>
                <w:highlight w:val="none"/>
              </w:rPr>
              <w:t xml:space="preserve">全员</w:t>
            </w:r>
            <w:r>
              <w:rPr>
                <w:rFonts w:ascii="宋体" w:hAnsi="宋体" w:eastAsia="宋体" w:cs="宋体"/>
                <w:color w:val="auto"/>
                <w:sz w:val="24"/>
                <w:szCs w:val="24"/>
                <w:highlight w:val="none"/>
              </w:rPr>
              <w:t xml:space="preserve">从预约到报告完成的全周期监控管理。</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③　接口平台：实现与三方接口对接和管理，开放接口源码，由医院自行管理调整。</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④　特殊项目：支持提前在分组中预置特殊项目，满足不同单位不同加项折扣需求。</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⑤　合并体检：同一个人多个体检订单，比如一个职业病订单、一个健康体检订单，支持检中合并体检，重复项目客人只需体检一次，共用体检结果，分开总检。</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⑥　支持3D人体孪生立体图异常标记，打印至体检报告中。</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⑦　OCR图文识别：通过OCR技术，系统自动识别验证附表信息的正确性和客人信息的一致性，避免张冠李戴现象发生。</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⑧　知情告知：支持对特殊检查科室的知情告知提醒，规避医疗风险。</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⑨　支持两个或两个以上人员绑定排队，并设定主从关系，在系统中进行特殊标记并在呼叫器与显示屏有明确标识。</w:t>
            </w:r>
            <w:r/>
          </w:p>
          <w:p>
            <w:pPr>
              <w:numPr>
                <w:ilvl w:val="-1"/>
                <w:numId w:val="0"/>
              </w:numPr>
              <w:ind w:left="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演示点共9项，</w:t>
            </w:r>
            <w:r>
              <w:rPr>
                <w:rFonts w:hint="eastAsia" w:ascii="宋体" w:hAnsi="宋体" w:cs="宋体"/>
                <w:bCs/>
                <w:color w:val="auto"/>
                <w:sz w:val="24"/>
                <w:szCs w:val="24"/>
                <w:highlight w:val="none"/>
                <w:lang w:val="en-US" w:eastAsia="zh-CN"/>
              </w:rPr>
              <w:t xml:space="preserve">演示内容满足要求的每项得1分，最高得9分。</w:t>
            </w:r>
            <w:r>
              <w:rPr>
                <w:rFonts w:hint="eastAsia" w:ascii="宋体" w:hAnsi="宋体" w:eastAsia="宋体" w:cs="宋体"/>
                <w:bCs/>
                <w:color w:val="auto"/>
                <w:sz w:val="24"/>
                <w:szCs w:val="24"/>
                <w:highlight w:val="none"/>
              </w:rPr>
              <w:t xml:space="preserve">以PPT</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截图</w:t>
            </w:r>
            <w:r>
              <w:rPr>
                <w:rFonts w:hint="eastAsia" w:ascii="宋体" w:hAnsi="宋体" w:eastAsia="宋体" w:cs="宋体"/>
                <w:bCs/>
                <w:color w:val="auto"/>
                <w:sz w:val="24"/>
                <w:szCs w:val="24"/>
                <w:highlight w:val="none"/>
              </w:rPr>
              <w:t xml:space="preserve">等非真实软件或DEMO操作视频方式演示的，视为负偏离。</w:t>
            </w:r>
            <w:r/>
          </w:p>
        </w:tc>
        <w:tc>
          <w:tcPr>
            <w:tcW w:w="2440" w:type="dxa"/>
            <w:vAlign w:val="center"/>
            <w:textDirection w:val="lrTb"/>
            <w:noWrap w:val="false"/>
          </w:tcPr>
          <w:p>
            <w:pPr>
              <w:ind w:left="-3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统一采用录制真实软件或DEMO操作视频方式进行演示（视频画面须清晰），视频文件的格式为*.mp4或*.avi，供应商须将视频文件分段压缩为*.zip文件上传（单个文件不得大于50M，所有文件总共不得大于300M）。文件上传方式见</w:t>
            </w:r>
            <w:r>
              <w:rPr>
                <w:rFonts w:hint="eastAsia" w:ascii="宋体" w:hAnsi="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规定，上传的演示视频将作为投标文件的组成部分，视频时长总计不超过15分钟。未按要求提交的本项不得分。</w:t>
            </w:r>
            <w:r/>
          </w:p>
          <w:p>
            <w:pPr>
              <w:ind w:left="-3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c>
          <w:tcPr>
            <w:shd w:val="clear" w:color="auto" w:fill="auto"/>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3.3</w:t>
            </w:r>
            <w:r/>
          </w:p>
        </w:tc>
        <w:tc>
          <w:tcPr>
            <w:tcW w:w="146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国产化适配证书</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提供国产化操作系统适配相关证书的，每提供一项认证得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tc>
        <w:tc>
          <w:tcPr>
            <w:tcW w:w="2440" w:type="dxa"/>
            <w:vAlign w:val="center"/>
            <w:textDirection w:val="lrTb"/>
            <w:noWrap w:val="false"/>
          </w:tcPr>
          <w:p>
            <w:pPr>
              <w:ind w:left="-38"/>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 xml:space="preserve">需提供国产化厂家适配证书，同一厂家多个认证不可兼得分。</w:t>
            </w:r>
            <w:r/>
          </w:p>
        </w:tc>
      </w:tr>
      <w:tr>
        <w:trPr/>
        <w:tc>
          <w:tcPr>
            <w:shd w:val="clear" w:color="auto" w:fill="auto"/>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3.4</w:t>
            </w:r>
            <w:r/>
          </w:p>
        </w:tc>
        <w:tc>
          <w:tcPr>
            <w:tcW w:w="1462" w:type="dxa"/>
            <w:vAlign w:val="center"/>
            <w:textDirection w:val="lrTb"/>
            <w:noWrap w:val="false"/>
          </w:tcPr>
          <w:p>
            <w:pPr>
              <w:jc w:val="center"/>
              <w:spacing w:line="3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综合实力1</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提供所投智慧体检系统通过三级等保测评的，得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p>
        </w:tc>
        <w:tc>
          <w:tcPr>
            <w:tcW w:w="2440" w:type="dxa"/>
            <w:vAlign w:val="center"/>
            <w:textDirection w:val="lrTb"/>
            <w:noWrap w:val="false"/>
          </w:tcPr>
          <w:p>
            <w:pPr>
              <w:ind w:left="-38"/>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提供投标人或其所投服务厂商应提供三级及以上信息系统安全等级保护备案证明，并加盖投标人公章，该证明至少需涵盖首页、基本信息页，同时需提供认证客户盖章证明函</w:t>
            </w:r>
            <w:r/>
          </w:p>
        </w:tc>
      </w:tr>
      <w:tr>
        <w:trPr>
          <w:trHeight w:val="358"/>
        </w:trPr>
        <w:tc>
          <w:tcPr>
            <w:shd w:val="clear" w:color="auto" w:fill="auto"/>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p>
        </w:tc>
        <w:tc>
          <w:tcPr>
            <w:tcW w:w="1462" w:type="dxa"/>
            <w:vAlign w:val="center"/>
            <w:textDirection w:val="lrTb"/>
            <w:noWrap w:val="false"/>
          </w:tcPr>
          <w:p>
            <w:pPr>
              <w:jc w:val="center"/>
              <w:spacing w:line="360" w:lineRule="exact"/>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综合实力2</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所投软件具有包含</w:t>
            </w:r>
            <w:r>
              <w:rPr>
                <w:rFonts w:hint="eastAsia" w:ascii="宋体" w:hAnsi="宋体" w:eastAsia="宋体" w:cs="宋体"/>
                <w:bCs/>
                <w:color w:val="auto"/>
                <w:sz w:val="24"/>
                <w:szCs w:val="24"/>
                <w:highlight w:val="none"/>
              </w:rPr>
              <w:t xml:space="preserve">体检、预约、排队、评价、管理及职业健康关键词</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软件著作权登记证书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每提供1项得</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分，最高得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p>
        </w:tc>
        <w:tc>
          <w:tcPr>
            <w:tcW w:w="2440" w:type="dxa"/>
            <w:vAlign w:val="center"/>
            <w:textDirection w:val="lrTb"/>
            <w:noWrap w:val="false"/>
          </w:tcPr>
          <w:p>
            <w:pPr>
              <w:ind w:left="-38"/>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提供软件著作权证书复印件</w:t>
            </w:r>
            <w:r/>
          </w:p>
        </w:tc>
      </w:tr>
      <w:tr>
        <w:trPr/>
        <w:tc>
          <w:tcPr>
            <w:shd w:val="clear" w:color="auto" w:fill="auto"/>
            <w:tcW w:w="835" w:type="dxa"/>
            <w:vAlign w:val="center"/>
            <w:textDirection w:val="lrTb"/>
            <w:noWrap w:val="false"/>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p>
        </w:tc>
        <w:tc>
          <w:tcPr>
            <w:tcW w:w="146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项目团队人员实力</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拟投入本项目的项目负责人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具有</w:t>
            </w:r>
            <w:r>
              <w:rPr>
                <w:rFonts w:hint="eastAsia" w:ascii="宋体" w:hAnsi="宋体" w:eastAsia="宋体" w:cs="宋体"/>
                <w:bCs/>
                <w:color w:val="auto"/>
                <w:sz w:val="24"/>
                <w:szCs w:val="24"/>
                <w:highlight w:val="none"/>
              </w:rPr>
              <w:t xml:space="preserve">PMP证书</w:t>
            </w:r>
            <w:r>
              <w:rPr>
                <w:rFonts w:hint="eastAsia" w:ascii="宋体" w:hAnsi="宋体" w:eastAsia="宋体" w:cs="宋体"/>
                <w:bCs/>
                <w:color w:val="auto"/>
                <w:sz w:val="24"/>
                <w:szCs w:val="24"/>
                <w:highlight w:val="none"/>
                <w:lang w:val="en-US" w:eastAsia="zh-CN"/>
              </w:rPr>
              <w:t xml:space="preserve">得2分。</w:t>
            </w:r>
            <w:r/>
          </w:p>
          <w:p>
            <w:pPr>
              <w:ind w:firstLine="0"/>
              <w:keepLines w:val="0"/>
              <w:keepNext w:val="0"/>
              <w:pageBreakBefore w:val="0"/>
              <w:spacing w:line="3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拟投入本项目的项目人员（除项目负责人外）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具有信息安全管理师证书</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分；具有信息系统项目管理师</w:t>
            </w:r>
            <w:r>
              <w:rPr>
                <w:rFonts w:hint="eastAsia" w:ascii="宋体" w:hAnsi="宋体" w:cs="宋体"/>
                <w:bCs/>
                <w:color w:val="auto"/>
                <w:sz w:val="24"/>
                <w:szCs w:val="24"/>
                <w:highlight w:val="none"/>
                <w:lang w:val="en-US" w:eastAsia="zh-CN"/>
              </w:rPr>
              <w:t xml:space="preserve">证书</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分；具有</w:t>
            </w:r>
            <w:r>
              <w:rPr>
                <w:rFonts w:hint="eastAsia" w:ascii="宋体" w:hAnsi="宋体" w:eastAsia="宋体" w:cs="宋体"/>
                <w:bCs/>
                <w:color w:val="auto"/>
                <w:sz w:val="24"/>
                <w:szCs w:val="24"/>
                <w:highlight w:val="none"/>
              </w:rPr>
              <w:t xml:space="preserve">软件设计师证书</w:t>
            </w:r>
            <w:r>
              <w:rPr>
                <w:rFonts w:hint="eastAsia" w:ascii="宋体" w:hAnsi="宋体" w:eastAsia="宋体" w:cs="宋体"/>
                <w:bCs/>
                <w:color w:val="auto"/>
                <w:sz w:val="24"/>
                <w:szCs w:val="24"/>
                <w:highlight w:val="none"/>
                <w:lang w:val="en-US" w:eastAsia="zh-CN"/>
              </w:rPr>
              <w:t xml:space="preserve">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提供符合上述要求人员的相关证书复印件及近三个月（自开标之日往前推算）在本单位参保的社保缴费证明复印件，</w:t>
            </w:r>
            <w:r>
              <w:rPr>
                <w:rFonts w:hint="eastAsia" w:ascii="宋体" w:hAnsi="宋体" w:eastAsia="宋体" w:cs="宋体"/>
                <w:b/>
                <w:color w:val="auto"/>
                <w:sz w:val="24"/>
                <w:szCs w:val="24"/>
                <w:highlight w:val="none"/>
                <w:lang w:val="en-US" w:eastAsia="zh-CN"/>
              </w:rPr>
              <w:t xml:space="preserve">一人多证仅计取一次，不重复得分</w:t>
            </w:r>
            <w:r>
              <w:rPr>
                <w:rFonts w:hint="eastAsia" w:ascii="宋体" w:hAnsi="宋体" w:eastAsia="宋体" w:cs="宋体"/>
                <w:b/>
                <w:color w:val="auto"/>
                <w:sz w:val="24"/>
                <w:szCs w:val="24"/>
                <w:highlight w:val="none"/>
              </w:rPr>
              <w:t xml:space="preserve">。</w:t>
            </w:r>
            <w:r/>
          </w:p>
        </w:tc>
      </w:tr>
      <w:tr>
        <w:trPr>
          <w:trHeight w:val="90"/>
        </w:trPr>
        <w:tc>
          <w:tcPr>
            <w:tcW w:w="835" w:type="dxa"/>
            <w:vAlign w:val="center"/>
            <w:textDirection w:val="lrTb"/>
            <w:noWrap w:val="false"/>
          </w:tcPr>
          <w:p>
            <w:pPr>
              <w:ind w:firstLine="28"/>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3.7</w:t>
            </w:r>
            <w:r/>
          </w:p>
        </w:tc>
        <w:tc>
          <w:tcPr>
            <w:tcW w:w="1462"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3978"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w:t>
            </w:r>
            <w:r>
              <w:rPr>
                <w:rFonts w:hint="eastAsia" w:ascii="宋体" w:hAnsi="宋体" w:eastAsia="宋体" w:cs="宋体"/>
                <w:color w:val="auto"/>
                <w:sz w:val="24"/>
                <w:szCs w:val="24"/>
                <w:highlight w:val="none"/>
                <w:lang w:val="en-US" w:eastAsia="zh-CN"/>
              </w:rPr>
              <w:t xml:space="preserve">承担的类似系统实施业绩</w:t>
            </w:r>
            <w:r>
              <w:rPr>
                <w:rFonts w:hint="eastAsia" w:ascii="宋体" w:hAnsi="宋体" w:eastAsia="宋体" w:cs="宋体"/>
                <w:color w:val="auto"/>
                <w:sz w:val="24"/>
                <w:szCs w:val="24"/>
                <w:highlight w:val="none"/>
              </w:rPr>
              <w:t xml:space="preserve">，每提供一个案例得1分，最高得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2440" w:type="dxa"/>
            <w:vAlign w:val="center"/>
            <w:textDirection w:val="lrTb"/>
            <w:noWrap w:val="false"/>
          </w:tcPr>
          <w:p>
            <w:pPr>
              <w:ind w:left="-38"/>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响应文件中须同时提供合同复印件加盖投标人公章</w:t>
            </w:r>
            <w:r>
              <w:rPr>
                <w:rFonts w:hint="eastAsia" w:ascii="宋体" w:hAnsi="宋体" w:eastAsia="宋体" w:cs="宋体"/>
                <w:b/>
                <w:color w:val="auto"/>
                <w:sz w:val="24"/>
                <w:szCs w:val="24"/>
                <w:highlight w:val="none"/>
              </w:rPr>
              <w:t xml:space="preserve">，时间以合同签订日期为准，</w:t>
            </w:r>
            <w:r>
              <w:rPr>
                <w:rFonts w:hint="eastAsia" w:ascii="宋体" w:hAnsi="宋体" w:eastAsia="宋体" w:cs="宋体"/>
                <w:b/>
                <w:color w:val="auto"/>
                <w:sz w:val="24"/>
                <w:szCs w:val="24"/>
                <w:highlight w:val="none"/>
              </w:rPr>
              <w:t xml:space="preserve">否则不得分。</w:t>
            </w:r>
            <w:r/>
          </w:p>
        </w:tc>
      </w:tr>
      <w:tr>
        <w:trPr/>
        <w:tc>
          <w:tcPr>
            <w:gridSpan w:val="2"/>
            <w:tcW w:w="2297"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913"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gridSpan w:val="2"/>
            <w:tcW w:w="641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14" w:name="_Toc99301424"/>
      <w:r>
        <w:rPr>
          <w:rFonts w:ascii="宋体" w:hAnsi="宋体"/>
          <w:b/>
          <w:color w:val="auto"/>
          <w:sz w:val="36"/>
          <w:szCs w:val="36"/>
          <w:highlight w:val="none"/>
        </w:rPr>
        <w:t xml:space="preserve">第五章   采购需求</w:t>
      </w:r>
      <w:bookmarkEnd w:id="814"/>
      <w:r/>
      <w:r/>
    </w:p>
    <w:p>
      <w:pPr>
        <w:ind w:firstLine="482"/>
        <w:spacing w:line="36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val="en-US" w:eastAsia="zh-CN"/>
        </w:rPr>
        <w:t xml:space="preserve">项目概况</w:t>
      </w:r>
      <w:r/>
    </w:p>
    <w:p>
      <w:pPr>
        <w:ind w:firstLine="480"/>
        <w:spacing w:line="360" w:lineRule="exact"/>
        <w:rPr>
          <w:rFonts w:ascii="宋体" w:hAnsi="宋体" w:cs="宋体"/>
          <w:bCs/>
          <w:color w:val="auto"/>
          <w:sz w:val="24"/>
          <w:highlight w:val="none"/>
        </w:rPr>
      </w:pPr>
      <w:r>
        <w:rPr>
          <w:rFonts w:hint="eastAsia" w:ascii="宋体" w:hAnsi="宋体" w:cs="宋体"/>
          <w:bCs/>
          <w:color w:val="auto"/>
          <w:sz w:val="24"/>
          <w:highlight w:val="none"/>
        </w:rPr>
        <w:t xml:space="preserve">常州市武进中医医院</w:t>
      </w:r>
      <w:r>
        <w:rPr>
          <w:rFonts w:hint="eastAsia" w:ascii="宋体" w:hAnsi="宋体" w:cs="宋体"/>
          <w:bCs/>
          <w:color w:val="auto"/>
          <w:sz w:val="24"/>
          <w:highlight w:val="none"/>
          <w:lang w:eastAsia="zh-CN"/>
        </w:rPr>
        <w:t xml:space="preserve">智慧体检系统项目</w:t>
      </w:r>
      <w:r>
        <w:rPr>
          <w:rFonts w:hint="eastAsia" w:ascii="宋体" w:hAnsi="宋体" w:cs="宋体"/>
          <w:bCs/>
          <w:color w:val="auto"/>
          <w:sz w:val="24"/>
          <w:highlight w:val="none"/>
        </w:rPr>
        <w:t xml:space="preserve">，包含检前预约系统（含小程序）、体检管理系统、智能导检系统、职业健康体检系统模块及配套硬件设备。</w:t>
      </w:r>
      <w:r/>
    </w:p>
    <w:p>
      <w:pPr>
        <w:ind w:firstLine="482"/>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二、系统内容及要求</w:t>
      </w:r>
      <w:r/>
    </w:p>
    <w:p>
      <w:pPr>
        <w:ind w:firstLine="420"/>
        <w:spacing w:line="360" w:lineRule="exact"/>
        <w:tabs>
          <w:tab w:val="left" w:pos="284" w:leader="none"/>
        </w:tabs>
        <w:rPr>
          <w:rFonts w:ascii="宋体" w:hAnsi="宋体" w:cs="宋体"/>
          <w:color w:val="auto"/>
          <w:szCs w:val="21"/>
          <w:highlight w:val="none"/>
        </w:rPr>
      </w:pPr>
      <w:r>
        <w:rPr>
          <w:rFonts w:hint="eastAsia" w:ascii="宋体" w:hAnsi="宋体" w:cs="宋体"/>
          <w:color w:val="auto"/>
          <w:szCs w:val="21"/>
          <w:highlight w:val="none"/>
        </w:rPr>
        <w:t xml:space="preserve">1、检前预约系统（含小程序）</w:t>
      </w:r>
      <w:r/>
    </w:p>
    <w:tbl>
      <w:tblPr>
        <w:tblStyle w:val="877"/>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84"/>
        <w:gridCol w:w="825"/>
        <w:gridCol w:w="7375"/>
      </w:tblGrid>
      <w:tr>
        <w:trPr>
          <w:tblHeade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功能模块描述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移动端（小程序）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医院/科室简介：支持在移动端显示医院/科室简介的信息，包括人员、设备、环境、位置导航、营业日、营业时间等，可添加图片展示。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体检须知展示：支持移动端显示公告、检前须知、检中须知、检后须知、男性须知、女性须知、特殊项目注意事项、停车须知等告知类文档或图片。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问卷设置：支持根据体检中心业务范围制定各类问卷，如：健康问卷、职业病问卷、传染病流调筛查问卷、辅助体检套餐选择问卷等。</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个人预约：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1.系统智能推项1+X：系统依据中华医学会专家共识，通过智能问卷评估模型，提示用户潜在疾病风险，自动推荐体检项目列表与体检套餐。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自助选项：客户根据项目分类或关键字搜索，勾选自己想要检查的项目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2.购买套餐：客户根据固定体检套餐的适用年龄段、适用人群选择相应套餐，可以选多个套餐，进行智能对比，选择最适合自己的一款。</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3、加项优惠项目发布：支持在检前或检中，发布限时优惠的加项服务项目，便于引导用户按需选择，提升服务体验与附加收入。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套餐可选包：支持在基础体检套餐外，提供多个可自由搭配的附加项目包（如CT类包、核磁包、彩超包等），不同客户可根据自身需求选择不同组合。满足不同年龄、性别、健康风险的定制化需求。针对性检查提升疾病早期发现率。客户自主搭配，增强满意度与复购意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支持小程序支付的退款申请审核，退款申请经过后台审核后，自动完成退款处理。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团检预约：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1.支持团检客户自动识别绑定的单位订单与分组套餐进行一键预约。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分组套餐可选包：支持在单位订单确定的基础体检项目外，提供多个可自由搭配的附加项目包（如CT类包、核磁包、彩超包等），客户可根据自身需求选择不同组合，费用可由统结也可自费。满足不同单位、不同客户检查的定制化需求。按需选择，避免强制捆绑无用项目，节省开支。针对性检查提升疾病早期发现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3、订单审批。支持团体客户订单的审批流程管理，满足单位体检订单的审核需求。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4、特殊项目设置：支持针对不同单位预先设置加项指定优惠折扣，前台选项默认取该折扣，满足差异化需求，提升客户满意度与合作黏性。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5、导出项目设计单。支持导出自定义配置项目设计单内容及格式，满足不同业务场景需求。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6、导出团检报告。支持按单位、分组及人员维度导出体检报告，并支持选择不同报告模板，便于单位体检结果的统一管理与归档。</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卡证预约：支持客户使用项目卡预约。</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卡证支付：支持使用储值卡支付。</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预约更改或取消：支持对已预约订单进行改约或取消。</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家属管理：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支持团检客户单位开放家属体检功能，家属可享受员工体检套餐及折扣。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支持散客家属预约功能，建立家属信息，直接帮家属预约、选项。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检前项目变更：支持对未开始体检并且未收费的项目进行修改，已收费的需退款后，才能再次修改体检项目。</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检中加项：支持线上检中加项与缴费。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线上支付：支持对接线上支付平台，实现线上缴费。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检前提醒：支持设置多个检前提醒时间，满足不同用户的提醒习惯。</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档案管理：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登录个人账号后，可查阅个人历年历次的健康档案。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经家属授权同意后，可查阅家属历年历次的健康档案。</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报告中心：支持电子版体检报告查看、下载（PDF版），云胶片对接展示，门诊检查报告集成对接。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报告解读：支持查看线下医生解读报告记录。</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支持下载默认报告、敏感报告、脱敏报告，并在下载时进行二次身份验证。</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bidi="ar"/>
              </w:rPr>
              <w:t xml:space="preserve">电子授权书：提供完整的电子授权书在线签署与管理功能。支持用户远程填写并授权他人代领报告，同时为管理方提供授权记录查询与核验能力，兼顾便捷与风控。</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val="en-US" w:eastAsia="zh-CN" w:bidi="ar"/>
              </w:rPr>
              <w:t xml:space="preserve">需提供现场演示</w:t>
            </w:r>
            <w:r>
              <w:rPr>
                <w:rFonts w:hint="eastAsia" w:ascii="宋体" w:hAnsi="宋体" w:cs="宋体"/>
                <w:b/>
                <w:bCs/>
                <w:color w:val="auto"/>
                <w:szCs w:val="21"/>
                <w:highlight w:val="none"/>
                <w:lang w:eastAsia="zh-CN" w:bidi="ar"/>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健康资讯：支持编辑发布健康知识宣教。</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主任手机端</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val="en-US" w:eastAsia="zh-CN" w:bidi="ar"/>
              </w:rPr>
              <w:t xml:space="preserve">全</w:t>
            </w:r>
            <w:r>
              <w:rPr>
                <w:rFonts w:hint="eastAsia" w:ascii="宋体" w:hAnsi="宋体" w:cs="宋体"/>
                <w:b/>
                <w:bCs/>
                <w:color w:val="auto"/>
                <w:szCs w:val="21"/>
                <w:highlight w:val="none"/>
                <w:lang w:bidi="ar"/>
              </w:rPr>
              <w:t xml:space="preserve">员全流程管理：支持查看</w:t>
            </w:r>
            <w:r>
              <w:rPr>
                <w:rFonts w:hint="eastAsia" w:ascii="宋体" w:hAnsi="宋体" w:cs="宋体"/>
                <w:b/>
                <w:bCs/>
                <w:color w:val="auto"/>
                <w:szCs w:val="21"/>
                <w:highlight w:val="none"/>
                <w:lang w:val="en-US" w:eastAsia="zh-CN" w:bidi="ar"/>
              </w:rPr>
              <w:t xml:space="preserve">全部</w:t>
            </w:r>
            <w:r>
              <w:rPr>
                <w:rFonts w:hint="eastAsia" w:ascii="宋体" w:hAnsi="宋体" w:cs="宋体"/>
                <w:b/>
                <w:bCs/>
                <w:color w:val="auto"/>
                <w:szCs w:val="21"/>
                <w:highlight w:val="none"/>
                <w:lang w:bidi="ar"/>
              </w:rPr>
              <w:t xml:space="preserve">体检人员的档案、状态及体检进度，快速查询</w:t>
            </w:r>
            <w:r>
              <w:rPr>
                <w:rFonts w:hint="eastAsia" w:ascii="宋体" w:hAnsi="宋体" w:cs="宋体"/>
                <w:b/>
                <w:bCs/>
                <w:color w:val="auto"/>
                <w:szCs w:val="21"/>
                <w:highlight w:val="none"/>
                <w:lang w:val="en-US" w:eastAsia="zh-CN" w:bidi="ar"/>
              </w:rPr>
              <w:t xml:space="preserve">全</w:t>
            </w:r>
            <w:r>
              <w:rPr>
                <w:rFonts w:hint="eastAsia" w:ascii="宋体" w:hAnsi="宋体" w:cs="宋体"/>
                <w:b/>
                <w:bCs/>
                <w:color w:val="auto"/>
                <w:szCs w:val="21"/>
                <w:highlight w:val="none"/>
                <w:lang w:bidi="ar"/>
              </w:rPr>
              <w:t xml:space="preserve">员的体检项目与报告。提供</w:t>
            </w:r>
            <w:r>
              <w:rPr>
                <w:rFonts w:hint="eastAsia" w:ascii="宋体" w:hAnsi="宋体" w:cs="宋体"/>
                <w:b/>
                <w:bCs/>
                <w:color w:val="auto"/>
                <w:szCs w:val="21"/>
                <w:highlight w:val="none"/>
                <w:lang w:val="en-US" w:eastAsia="zh-CN" w:bidi="ar"/>
              </w:rPr>
              <w:t xml:space="preserve">全</w:t>
            </w:r>
            <w:r>
              <w:rPr>
                <w:rFonts w:hint="eastAsia" w:ascii="宋体" w:hAnsi="宋体" w:cs="宋体"/>
                <w:b/>
                <w:bCs/>
                <w:color w:val="auto"/>
                <w:szCs w:val="21"/>
                <w:highlight w:val="none"/>
                <w:lang w:bidi="ar"/>
              </w:rPr>
              <w:t xml:space="preserve">员状态变更、加急等功能，实现对</w:t>
            </w:r>
            <w:r>
              <w:rPr>
                <w:rFonts w:hint="eastAsia" w:ascii="宋体" w:hAnsi="宋体" w:cs="宋体"/>
                <w:b/>
                <w:bCs/>
                <w:color w:val="auto"/>
                <w:szCs w:val="21"/>
                <w:highlight w:val="none"/>
                <w:lang w:val="en-US" w:eastAsia="zh-CN" w:bidi="ar"/>
              </w:rPr>
              <w:t xml:space="preserve">全</w:t>
            </w:r>
            <w:r>
              <w:rPr>
                <w:rFonts w:hint="eastAsia" w:ascii="宋体" w:hAnsi="宋体" w:cs="宋体"/>
                <w:b/>
                <w:bCs/>
                <w:color w:val="auto"/>
                <w:szCs w:val="21"/>
                <w:highlight w:val="none"/>
                <w:lang w:bidi="ar"/>
              </w:rPr>
              <w:t xml:space="preserve">员从预约到报告完成的全周期监控管理。（需提供现场演示）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预约后台规则</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预约量控制规则：支持按照体检科每日总接待人数总量或按照体检科每个科室每天工作总时间设置预约量，这两条规则可单独开启，也可同时开启，可实现科学精准控制体检中心接待量，避免科室忙闲不均，提升客户体验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预约预警：按照体检中心接待量设置预警规则，预约达到预警数值，醒目提醒体检中心管理人员，可根据预警情况提前调配人员、设备等，做到资源合理分配。</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瓶颈项目规则设置：支持设置一个或多个瓶颈项目及瓶颈项目组合，并按照瓶颈项目或瓶颈项目组合的接待量或接待总时长进行预约把控及预警提醒，相关负责人可随时查阅瓶颈项目及瓶颈项目组合的预约情况，及时进行人员、设备的调配或控制预约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分时段预约：按照体检中心实际接待能力，进行分时段设置接待人数，降低前台及科室短时间接待大量客户的压力，在总接待量不变的情况下，降低检线日接待的峰值人数。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体检套餐：可以在线上端（微信公众号、小程序等）选择体检套餐，套餐可在后台进行个性化配置。具备套餐详情介绍、体检项目、适用对象、套餐特点、套餐分类、套餐详情等内容查看，支持多套餐综合比对。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检定制选项：通过前期问卷内容或结合客户历史档案对体检客户进行分类，并为客户提供多种个性化定制选项方案，包含系统根据客户问卷内容或结合客户档案智能推项、客户自主选项、1对1咨询院内医师进行选项等方案。</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单位预约：支持为单位设置按日期范围的预留名额，灵活控制预约时间，预约结束后自动释放名额或关闭线上预约，确保名额管理高效、精准。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线上预约：可根据体检中心总接待量，设置移动端可约人数，进行综合把控。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现场预约：可根据体检中心设置现场前台预约人数限制。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分区管理：支持分区域体检（比如男女分区、会员等级分区）。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预约中心工作人员操作端</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团客预约：登录预约中心，通过团客预约入口，进行团客人员的预约，支持订单查询，也可进行批量预约。</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散客预约：支持电话预约、前台预约，进行项目选择后进行预约。</w:t>
            </w:r>
            <w:r/>
          </w:p>
        </w:tc>
      </w:tr>
      <w:tr>
        <w:trPr/>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97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预约总览：支持以日历或列表方式显示预约整体信息，方便查看设置。</w:t>
            </w:r>
            <w:r/>
          </w:p>
        </w:tc>
      </w:tr>
    </w:tbl>
    <w:p>
      <w:pPr>
        <w:ind w:firstLine="420"/>
        <w:spacing w:line="360" w:lineRule="exact"/>
        <w:tabs>
          <w:tab w:val="left" w:pos="284" w:leader="none"/>
        </w:tabs>
        <w:rPr>
          <w:rFonts w:ascii="宋体" w:hAnsi="宋体" w:cs="宋体"/>
          <w:color w:val="auto"/>
          <w:szCs w:val="21"/>
          <w:highlight w:val="none"/>
        </w:rPr>
      </w:pPr>
      <w:r>
        <w:rPr>
          <w:rFonts w:hint="eastAsia" w:ascii="宋体" w:hAnsi="宋体" w:cs="宋体"/>
          <w:color w:val="auto"/>
          <w:szCs w:val="21"/>
          <w:highlight w:val="none"/>
        </w:rPr>
        <w:t xml:space="preserve">2、体检管理系统</w:t>
      </w:r>
      <w:r/>
    </w:p>
    <w:tbl>
      <w:tblPr>
        <w:tblStyle w:val="87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691"/>
        <w:gridCol w:w="7580"/>
      </w:tblGrid>
      <w:tr>
        <w:trPr>
          <w:jc w:val="center"/>
          <w:trHeight w:val="170"/>
        </w:trPr>
        <w:tc>
          <w:tcPr>
            <w:shd w:val="clear" w:color="auto" w:fill="auto"/>
            <w:tcW w:w="544" w:type="pct"/>
            <w:vAlign w:val="center"/>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模块</w:t>
            </w:r>
            <w:r/>
          </w:p>
        </w:tc>
        <w:tc>
          <w:tcPr>
            <w:shd w:val="clear" w:color="auto" w:fill="auto"/>
            <w:tcW w:w="372" w:type="pct"/>
            <w:vAlign w:val="center"/>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W w:w="4083" w:type="pct"/>
            <w:vAlign w:val="center"/>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功能模块描述</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系统设置</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打印方案：支持根据体检中心实际业务需求，打印条码、指引单、手环、缴费单等。</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4083" w:type="pct"/>
            <w:vAlign w:val="center"/>
            <w:textDirection w:val="lrTb"/>
            <w:noWrap w:val="false"/>
          </w:tcPr>
          <w:p>
            <w:pP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▲报表设计：灵活的报表设计配置，能满足医院的各种情况，实现医院个性化需求数据的统计。</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角色管理：支持在体检权限设置中，对工作人员资料维护、体检权限设置、人员类别权限、折扣权限、菜单权限进行维护。</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菜单管理：模块可配置，适应体检中心不同业务需求。</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b/>
                <w:bCs/>
                <w:color w:val="auto"/>
                <w:szCs w:val="21"/>
                <w:highlight w:val="none"/>
                <w:lang w:bidi="ar"/>
              </w:rPr>
              <w:t xml:space="preserve">▲接口平台：实现与三方接口对接和管理，开放接口源码，由医院自行管理调整。</w:t>
            </w:r>
            <w:r>
              <w:rPr>
                <w:rFonts w:hint="eastAsia" w:ascii="宋体" w:hAnsi="宋体" w:eastAsia="宋体" w:cs="宋体"/>
                <w:b/>
                <w:bCs/>
                <w:color w:val="auto"/>
                <w:sz w:val="24"/>
                <w:szCs w:val="24"/>
                <w:highlight w:val="none"/>
                <w:lang w:eastAsia="zh-CN"/>
              </w:rPr>
              <w:t xml:space="preserve">（需提供现场演示）</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字典管理：套餐类型，分组类型，体检类型，样本类型等等，都在字典内维护。</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消息管理：支持对接短信平台，实现消息推送，如：预约提醒、驳回提醒、滞留提醒、报告提醒等。</w:t>
            </w:r>
            <w:r/>
          </w:p>
        </w:tc>
      </w:tr>
      <w:tr>
        <w:trPr>
          <w:jc w:val="center"/>
          <w:trHeight w:val="170"/>
        </w:trPr>
        <w:tc>
          <w:tcPr>
            <w:shd w:val="clear" w:color="auto" w:fill="auto"/>
            <w:tcW w:w="544" w:type="pct"/>
            <w:vAlign w:val="center"/>
            <w:vMerge w:val="restart"/>
            <w:textDirection w:val="lrTb"/>
            <w:noWrap w:val="false"/>
          </w:tcPr>
          <w:p>
            <w:pPr>
              <w:jc w:val="left"/>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团单管理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团单管理：支持对团检单位进行全流程管理，包含单位创建、信息完善、必填项控制等，并对创建后的团单进行订单创建和管理、分组创建和管理、分组项目管理、体检人员名单管理、合同资料管理、审批管理、团单资料导入/导出等。</w:t>
            </w:r>
            <w:r/>
          </w:p>
        </w:tc>
      </w:tr>
      <w:tr>
        <w:trPr>
          <w:jc w:val="center"/>
          <w:trHeight w:val="170"/>
        </w:trPr>
        <w:tc>
          <w:tcPr>
            <w:shd w:val="clear" w:color="auto" w:fill="auto"/>
            <w:tcW w:w="544" w:type="pct"/>
            <w:vAlign w:val="center"/>
            <w:vMerge w:val="continue"/>
            <w:textDirection w:val="lrTb"/>
            <w:noWrap w:val="false"/>
          </w:tcPr>
          <w:p>
            <w:pPr>
              <w:jc w:val="left"/>
              <w:spacing w:line="360" w:lineRule="atLeas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shd w:val="clear" w:color="auto" w:fill="auto"/>
            <w:tcW w:w="691" w:type="dxa"/>
            <w:vAlign w:val="center"/>
            <w:textDirection w:val="lrTb"/>
            <w:noWrap/>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W w:w="4083" w:type="pct"/>
            <w:vAlign w:val="center"/>
            <w:textDirection w:val="lrTb"/>
            <w:noWrap w:val="false"/>
          </w:tcPr>
          <w:p>
            <w:pPr>
              <w:spacing w:line="360" w:lineRule="atLeast"/>
              <w:widowControl/>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bidi="ar"/>
              </w:rPr>
              <w:t xml:space="preserve">特殊项目：支持提前在分组中预置特殊项目，满足不同单位不同加项折扣需求。</w:t>
            </w:r>
            <w:r>
              <w:rPr>
                <w:rFonts w:hint="eastAsia" w:ascii="宋体" w:hAnsi="宋体" w:eastAsia="宋体" w:cs="宋体"/>
                <w:b/>
                <w:bCs/>
                <w:color w:val="auto"/>
                <w:sz w:val="24"/>
                <w:szCs w:val="24"/>
                <w:highlight w:val="none"/>
                <w:lang w:eastAsia="zh-CN"/>
              </w:rPr>
              <w:t xml:space="preserve">（需提供现场演示）</w:t>
            </w:r>
            <w:r/>
          </w:p>
        </w:tc>
      </w:tr>
      <w:tr>
        <w:trPr>
          <w:jc w:val="center"/>
          <w:trHeight w:val="90"/>
        </w:trPr>
        <w:tc>
          <w:tcPr>
            <w:shd w:val="clear" w:color="auto" w:fill="auto"/>
            <w:tcW w:w="544" w:type="pct"/>
            <w:vAlign w:val="center"/>
            <w:vMerge w:val="continue"/>
            <w:textDirection w:val="lrTb"/>
            <w:noWrap w:val="false"/>
          </w:tcPr>
          <w:p>
            <w:pPr>
              <w:jc w:val="left"/>
              <w:spacing w:line="360" w:lineRule="atLeas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tc>
        <w:tc>
          <w:tcPr>
            <w:shd w:val="clear" w:color="auto" w:fill="auto"/>
            <w:tcW w:w="691" w:type="dxa"/>
            <w:vAlign w:val="center"/>
            <w:textDirection w:val="lrTb"/>
            <w:noWrap/>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W w:w="4083" w:type="pct"/>
            <w:vAlign w:val="center"/>
            <w:textDirection w:val="lrTb"/>
            <w:noWrap w:val="false"/>
          </w:tcPr>
          <w:p>
            <w:pPr>
              <w:spacing w:line="360" w:lineRule="atLeast"/>
              <w:widowControl/>
              <w:rPr>
                <w:rFonts w:hint="eastAsia" w:ascii="宋体" w:hAnsi="宋体" w:eastAsia="宋体" w:cs="宋体"/>
                <w:b/>
                <w:bCs/>
                <w:color w:val="auto"/>
                <w:szCs w:val="21"/>
                <w:highlight w:val="none"/>
                <w:lang w:eastAsia="zh-CN" w:bidi="ar"/>
              </w:rPr>
            </w:pPr>
            <w:r>
              <w:rPr>
                <w:rFonts w:hint="eastAsia" w:ascii="宋体" w:hAnsi="宋体" w:eastAsia="宋体" w:cs="宋体"/>
                <w:b w:val="0"/>
                <w:bCs w:val="0"/>
                <w:color w:val="auto"/>
                <w:sz w:val="24"/>
                <w:szCs w:val="24"/>
                <w:highlight w:val="none"/>
              </w:rPr>
              <w:t xml:space="preserve">家属订单：支持一键快捷生成家属订单。</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检前登记</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预约查询：支持通过身份证识别及查询姓名、电话、档案号等方式查询客户体检预约信息（含线上预约）。</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个性化前台界面显示：支持前台工作人员根据自己工作习惯与需求，设置不同的界面内容及顺序进行显示。</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前台登记：支持自动读取身份证头像或现场采集头像，打印体检指引单及条码。可满足个人登记，也能满足单位批量导入，预登记，正式登记。</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W w:w="4083" w:type="pct"/>
            <w:vAlign w:val="center"/>
            <w:textDirection w:val="lrTb"/>
            <w:noWrap w:val="false"/>
          </w:tcPr>
          <w:p>
            <w:pP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客户标签：支持根据客户情况，为客户标记标签，这些标签客户不可见，且在医生端并不直接显示内容，只显示图标，方便检线环节对客户进行必要的关注。隐藏标签包括但不限于：脾气暴躁、孕妇、VIP、决策人等。</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报告加急：前台工作人员可根据客户要求标记是否着急出具体检报告，后期全流程科室及工作人员都能看到相应标识，并且优先为客户出具报告。</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替检管理：支持团检客户名额转让，在前台页面更换实际体检人员个人信息。</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加项包：设置好加项包后，可以在登记单位人员的时候自动跳出加项包页面，添加。</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快速选项：支持客户一键复制历年体检项目，或一键复制其他客户或同行人的体检项目。</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W w:w="4083" w:type="pct"/>
            <w:vAlign w:val="center"/>
            <w:textDirection w:val="lrTb"/>
            <w:noWrap w:val="false"/>
          </w:tcPr>
          <w:p>
            <w:pPr>
              <w:spacing w:line="360" w:lineRule="atLeast"/>
              <w:widowControl/>
              <w:rPr>
                <w:rFonts w:hint="eastAsia" w:ascii="宋体" w:hAnsi="宋体" w:eastAsia="宋体" w:cs="宋体"/>
                <w:color w:val="auto"/>
                <w:szCs w:val="21"/>
                <w:highlight w:val="none"/>
                <w:lang w:eastAsia="zh-CN" w:bidi="ar"/>
              </w:rPr>
            </w:pPr>
            <w:r>
              <w:rPr>
                <w:rFonts w:hint="eastAsia" w:ascii="宋体" w:hAnsi="宋体" w:cs="宋体"/>
                <w:b/>
                <w:bCs/>
                <w:color w:val="auto"/>
                <w:szCs w:val="21"/>
                <w:highlight w:val="none"/>
                <w:lang w:bidi="ar"/>
              </w:rPr>
              <w:t xml:space="preserve">合并体检：同一个人多个体检订单，比如一个职业病订单、一个健康体检订单，支持检中合并体检，重复项目客人只需体检一次，共用体检结果，分开总检</w:t>
            </w:r>
            <w:r>
              <w:rPr>
                <w:rFonts w:hint="eastAsia" w:ascii="宋体" w:hAnsi="宋体" w:cs="宋体"/>
                <w:b/>
                <w:bCs/>
                <w:color w:val="auto"/>
                <w:szCs w:val="21"/>
                <w:highlight w:val="none"/>
                <w:lang w:eastAsia="zh-CN" w:bidi="ar"/>
              </w:rPr>
              <w:t xml:space="preserve">。（需提供现场演示）</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财务管理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收费管理：支持多种收、退费方式，支持整体、单项打折；团检可换项目并自动补差价，超出统收金额自动转自费；退项、退费、增项、增费严格又灵活，能跟踪到责任人，杜绝团体结算漏洞，并具有完善的管理方式；团体结算适应性强。</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加项打折：团检客户设置订单时设定现场加项的折扣，前台选项后自动打折。</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修改收费方式：支持开关前台人员修改收费方式权限，前台人员根据客户情况进行收费，如：统结改自费，自费改统结，或免单、挂账等。</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财务报表：支持根据体检中心要求设计统计报表，并支持导出。</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卡证管理：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支持体检常用卡证管理，如会员卡、储值卡、套餐项目卡等；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支持卡证全流程管理，如创建、制作、发放、启用、绑定、核销等。</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科室检查</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体检数据参考：支持科室医生查阅客户本次体检其他已检科室结论及附表及个人历次体检结论及附表。</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结构化词条：支持医生汉字0输入，根据系统自带完善的知识库模板，医生只需勾选项目检查描述，即可自动关联科室小结及诊断及建议、科普。</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检中加项：支持科室检查页面加项。</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自动诊断：支持根据医生勾选的检查结果，系统自动判断是否异常，异常结果自动标红并进行A\B类上报，自动生成随访。</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统计查询：支持科室医生查阅当前检查情况，已查、未查，以及当天的工作量。</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检中录音：支持手动\自动开启科室录音功能，方便记录医生与客户交流内容，一方面可以作为医患纠纷的证据存档，另一方面可以考核医生沟通交流是否专业，是否符合服务要求。</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会诊提醒：支持科室之间发现阳性，可以给相关科室发送诊间提醒，以免漏诊或者科室之间结论不符。如在外科检查时医生发现有甲状腺结节，可以给甲状腺超声科发送提醒，超声科给客户检查时能收到外科发来的提醒内容。</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W w:w="4083" w:type="pct"/>
            <w:vAlign w:val="center"/>
            <w:textDirection w:val="lrTb"/>
            <w:noWrap w:val="false"/>
          </w:tcPr>
          <w:p>
            <w:pPr>
              <w:jc w:val="left"/>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科室结果录入：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非标/辅助检查设备检查结果图片自动导入系统。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实验室检查结果对接Lis系统自动导入。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影像检查结果对接pacs系统自动回传；至体检系统，包含图文报告。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其他科室手动勾选录入检查结果。</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智能总检</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总检排班：后台配置相应规则，按照体检中心总检要求自动匹配相应的总检医生。</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一级总检：系统自动校验资料是否完整，校验完毕推送至医生账号。</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二级总检：初审，支持查看和手动调整检查结果，报告打印预览。</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三级总检：终审，支持查看分科结果、分科小结、历年历次体检结果、疾病史、家族史等；支持查看待终检列表、已终检列表。</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差错逐级驳回：支持总检及终检发现差错，逐级驳回，助力科室绩效管理、并指明培训方向。</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报告管理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报告打印：支持根据不同的查询条件，进行个检、团检报告批量或单独打印。</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电子报告：支持导出PDF格式的电子报告。</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团检报告：可根据中心要求或体检单位要求出具单位团检报告。</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报告领取：支持报告领取全流程管理，包括领取的方式、领取人员信息、是否解读等信息的记录，并支持批量领取。</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报告柜功能：支持根据中心实体柜个性化定制电子报告柜，通过信息化记录每份报告的精确存放位置，方便工作人员管理报告和快速拿取。</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报告模板：支持报告模板自定义编辑。</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体检报告扫描交接：实现纸质报告数字化流转，打通体检机构与客户间的信息传递链路，全程电子留痕记录交接人、时间节点等关键信息 ，确保报告交接可追溯、可验证。</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报告解读：支持线下报告解读，查看全科结果、历年报告、总结，以及pdf报告预览，支持医生记录解读日志。</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W w:w="4083" w:type="pct"/>
            <w:vAlign w:val="center"/>
            <w:textDirection w:val="lrTb"/>
            <w:noWrap w:val="false"/>
          </w:tcPr>
          <w:p>
            <w:pPr>
              <w:spacing w:line="360" w:lineRule="atLeast"/>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支持3D人体孪生立体图异常标记，打印至体检报告中。</w:t>
            </w:r>
            <w:r>
              <w:rPr>
                <w:rFonts w:hint="eastAsia" w:ascii="宋体" w:hAnsi="宋体" w:cs="宋体"/>
                <w:b/>
                <w:bCs/>
                <w:color w:val="auto"/>
                <w:szCs w:val="21"/>
                <w:highlight w:val="none"/>
                <w:lang w:eastAsia="zh-CN" w:bidi="ar"/>
              </w:rPr>
              <w:t xml:space="preserve">（</w:t>
            </w:r>
            <w:r>
              <w:rPr>
                <w:rFonts w:hint="eastAsia" w:ascii="宋体" w:hAnsi="宋体" w:cs="宋体"/>
                <w:b/>
                <w:bCs/>
                <w:color w:val="auto"/>
                <w:szCs w:val="21"/>
                <w:highlight w:val="none"/>
                <w:lang w:val="en-US" w:eastAsia="zh-CN" w:bidi="ar"/>
              </w:rPr>
              <w:t xml:space="preserve">需提供现场演示</w:t>
            </w:r>
            <w:r>
              <w:rPr>
                <w:rFonts w:hint="eastAsia" w:ascii="宋体" w:hAnsi="宋体" w:cs="宋体"/>
                <w:b/>
                <w:bCs/>
                <w:color w:val="auto"/>
                <w:szCs w:val="21"/>
                <w:highlight w:val="none"/>
                <w:lang w:eastAsia="zh-CN" w:bidi="ar"/>
              </w:rPr>
              <w:t xml:space="preserve">）</w:t>
            </w:r>
            <w:r/>
          </w:p>
        </w:tc>
      </w:tr>
      <w:tr>
        <w:trPr>
          <w:jc w:val="center"/>
          <w:trHeight w:val="170"/>
        </w:trPr>
        <w:tc>
          <w:tcPr>
            <w:shd w:val="clear" w:color="auto" w:fill="auto"/>
            <w:tcW w:w="544" w:type="pct"/>
            <w:vAlign w:val="center"/>
            <w:textDirection w:val="lrTb"/>
            <w:noWrap w:val="false"/>
          </w:tcPr>
          <w:p>
            <w:pPr>
              <w:jc w:val="left"/>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档案管理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一号制档案管理：支持系统自动生成健康档案号，根据身份证自动关联历次体检，形成完整的健康档案信息。</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质控管理</w:t>
            </w:r>
            <w:r/>
          </w:p>
        </w:tc>
        <w:tc>
          <w:tcPr>
            <w:shd w:val="clear" w:color="auto" w:fill="auto"/>
            <w:tcW w:w="691" w:type="dxa"/>
            <w:vAlign w:val="center"/>
            <w:textDirection w:val="lrTb"/>
            <w:noWrap/>
          </w:tcPr>
          <w:p>
            <w:pPr>
              <w:jc w:val="center"/>
              <w:keepLines w:val="0"/>
              <w:keepNext w:val="0"/>
              <w:widowControl/>
              <w:rPr>
                <w:rFonts w:hint="eastAsia"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W w:w="4083" w:type="pct"/>
            <w:vAlign w:val="center"/>
            <w:textDirection w:val="lrTb"/>
            <w:noWrap w:val="false"/>
          </w:tcPr>
          <w:p>
            <w:pPr>
              <w:spacing w:line="360" w:lineRule="atLeast"/>
              <w:widowControl/>
              <w:rPr>
                <w:rFonts w:hint="eastAsia" w:ascii="宋体" w:hAnsi="宋体" w:cs="宋体"/>
                <w:color w:val="auto"/>
                <w:szCs w:val="21"/>
                <w:highlight w:val="none"/>
                <w:lang w:bidi="ar"/>
              </w:rPr>
            </w:pPr>
            <w:r>
              <w:rPr>
                <w:rFonts w:hint="eastAsia" w:ascii="宋体" w:hAnsi="宋体" w:cs="宋体"/>
                <w:b/>
                <w:bCs/>
                <w:color w:val="auto"/>
                <w:szCs w:val="21"/>
                <w:highlight w:val="none"/>
                <w:lang w:bidi="ar"/>
              </w:rPr>
              <w:t xml:space="preserve">OCR图文识别：通过OCR技术，系统自动识别验证附表信息的正确性和客人信息的一致性，避免张冠李戴现象发生。（需提供现场演示）</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widowControl/>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信息追溯：支持查询体检者体检轨迹，做到有迹可循，从预约到报告解读完成，所有的环节操作都留有痕迹，生成完成的轨迹报告，可以供主任查询。</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W w:w="4083" w:type="pct"/>
            <w:vAlign w:val="center"/>
            <w:textDirection w:val="lrTb"/>
            <w:noWrap w:val="false"/>
          </w:tcPr>
          <w:p>
            <w:pPr>
              <w:jc w:val="left"/>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项目质控：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男性（女性）体检客户选项时，系统会自动屏蔽女性（男性）项目。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孕况为已孕或备孕状态时，自动屏蔽不建议检查项目。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支持已选项目互斥提醒，如碳十三、碳十四等。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支持项目包含于被包含提醒，如甲功五项、甲功六项等。</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结果质控：支持通过校验关键字规避男女性诊断结论差错或其他错误结论。</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W w:w="4083" w:type="pct"/>
            <w:vAlign w:val="center"/>
            <w:textDirection w:val="lrTb"/>
            <w:noWrap w:val="false"/>
          </w:tcPr>
          <w:p>
            <w:pP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▲阳性检出率：支持按日、月统计筛选触发阳性情况的客户数据，支持按分组统计查询。</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W w:w="4083" w:type="pct"/>
            <w:vAlign w:val="center"/>
            <w:textDirection w:val="lrTb"/>
            <w:noWrap w:val="false"/>
          </w:tcPr>
          <w:p>
            <w:pPr>
              <w:jc w:val="left"/>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滞留管理：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支持根据不同体检类型或会员等级设定报告出具时间，出现逾期、滞留及时提醒相关人员。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支持按查询条件导出相关报表。</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W w:w="4083" w:type="pct"/>
            <w:vAlign w:val="center"/>
            <w:textDirection w:val="lrTb"/>
            <w:noWrap w:val="false"/>
          </w:tcPr>
          <w:p>
            <w:pP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▲质控监管平台：按照中华医学会健康管理学会2023质控专家共识最新标准，进行各项指标BI的监管及统计分析。</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操作日志：支持保存操作人员所有环节的操作日志，出现问题可以及时追溯并还原用户的操作过程。</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W w:w="4083" w:type="pct"/>
            <w:vAlign w:val="center"/>
            <w:textDirection w:val="lrTb"/>
            <w:noWrap w:val="false"/>
          </w:tcPr>
          <w:p>
            <w:pPr>
              <w:jc w:val="left"/>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体检报告抽样质检：通过随机或分层抽样方式，对已出具的体检报告进行复核，检查项目完整性、数据准确性及结论合理性，确保报告质量。1.质量把控：减少漏诊、误诊风险，提升报告可信度。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2.流程优化：通过问题反馈持续改进检测及诊断流程。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3.风险防控：降低医疗纠纷概率，增强机构公信力。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4.成本可控：抽样方式平衡质量与效率，避免全量复核的资源浪费。</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重阳管理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自动随访：受检者有体检项被标记为危急值或者重大阳性，系统将自动创建随访计划数据并分配给随访专员。</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随访任务：医生被分配到了随访任务，点击“随访”按钮，完成随访记录的操作。除了可以查看体检人过往的体检结论和检验结果，还可以在此页面记录随访时间、随访内容等信息。</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随访记录：内置危急值规则，体检检查数据生成时，自动跟进规则生成随访。无需人工筛选数据随访自动生成重要异常随访。</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重要客户随访：重要客户体检完成后自动创建随访计划，方便对重要用户及时随访。此功能可单独配置。</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创建随访任务：支持创建二次随访任务，到期自动提醒工作人员完成随访。</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随访统计：可根据不同的检索条件搜索出不同的表格内容，进行统计及导出相关专业统计报表。</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慢病随访</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慢病筛选：根据医院日常管理要求，添加慢病管理病种，设置该慢病确诊需要的诊断名称及确诊项目，后台科学配置相应条件后，系统自动筛选。</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慢病随访：受检者被系统自动筛选为慢病人员后，随访专员可在系统中查询到所有相关人员，可通过配置或人工随访方式进行慢病的随访。</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随访记录：配置随访话术模板或相应话术等，选择短信或微信方式，系统可到期自动下发随访内容，如需二次随访，可设置相应内容或规则，到期会自动生成随访。</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随访统计：根据不同检索条件可查询不同维度的数据统计及分析，支持随访相关专业统计报表。</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科研管理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科研课题：创建科研课题，选择调研项目，输出知情同意书。</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科研问卷：创建有针对性的科研问卷配合调研。</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科研结果输出：针对科研调查结果输出专项报表。</w:t>
            </w:r>
            <w:r/>
          </w:p>
        </w:tc>
      </w:tr>
      <w:tr>
        <w:trPr>
          <w:jc w:val="center"/>
          <w:trHeight w:val="170"/>
        </w:trPr>
        <w:tc>
          <w:tcPr>
            <w:shd w:val="clear" w:color="auto" w:fill="auto"/>
            <w:tcW w:w="544" w:type="pct"/>
            <w:vAlign w:val="center"/>
            <w:vMerge w:val="restart"/>
            <w:textDirection w:val="lrTb"/>
            <w:noWrap w:val="false"/>
          </w:tcPr>
          <w:p>
            <w:pPr>
              <w:jc w:val="center"/>
              <w:spacing w:line="360" w:lineRule="atLeas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短信管理</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短信内容：生日、节日提醒等自动发送给用户。无需手动操作，系统自动发送。</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发送短信：可批量发送业务类短信，比如报告完成，高血压类病人等短信消息。</w:t>
            </w:r>
            <w:r/>
          </w:p>
        </w:tc>
      </w:tr>
      <w:tr>
        <w:trPr>
          <w:jc w:val="center"/>
          <w:trHeight w:val="170"/>
        </w:trPr>
        <w:tc>
          <w:tcPr>
            <w:shd w:val="clear" w:color="auto" w:fill="auto"/>
            <w:tcW w:w="544" w:type="pct"/>
            <w:vAlign w:val="center"/>
            <w:vMerge w:val="continue"/>
            <w:textDirection w:val="lrTb"/>
            <w:noWrap w:val="false"/>
          </w:tcPr>
          <w:p>
            <w:pPr>
              <w:jc w:val="center"/>
              <w:spacing w:line="360" w:lineRule="atLeast"/>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W w:w="4083" w:type="pct"/>
            <w:vAlign w:val="center"/>
            <w:textDirection w:val="lrTb"/>
            <w:noWrap w:val="false"/>
          </w:tcPr>
          <w:p>
            <w:pPr>
              <w:spacing w:line="360" w:lineRule="atLeast"/>
              <w:widowControl/>
              <w:rPr>
                <w:rFonts w:ascii="宋体" w:hAnsi="宋体" w:cs="宋体"/>
                <w:color w:val="auto"/>
                <w:szCs w:val="21"/>
                <w:highlight w:val="none"/>
              </w:rPr>
            </w:pPr>
            <w:r>
              <w:rPr>
                <w:rFonts w:hint="eastAsia" w:ascii="宋体" w:hAnsi="宋体" w:cs="宋体"/>
                <w:color w:val="auto"/>
                <w:szCs w:val="21"/>
                <w:highlight w:val="none"/>
                <w:lang w:bidi="ar"/>
              </w:rPr>
              <w:t xml:space="preserve">短信通道：系统支持阿里云等云平台短信发送，也支持医院短信平台发送短信。</w:t>
            </w:r>
            <w:r/>
          </w:p>
        </w:tc>
      </w:tr>
      <w:tr>
        <w:trPr>
          <w:jc w:val="center"/>
          <w:trHeight w:val="170"/>
        </w:trPr>
        <w:tc>
          <w:tcPr>
            <w:shd w:val="clear" w:color="auto" w:fill="auto"/>
            <w:tcW w:w="544" w:type="pct"/>
            <w:vAlign w:val="center"/>
            <w:textDirection w:val="lrTb"/>
            <w:noWrap w:val="false"/>
          </w:tcPr>
          <w:p>
            <w:pPr>
              <w:jc w:val="center"/>
              <w:spacing w:line="36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运营数据统计分析</w:t>
            </w:r>
            <w:r/>
          </w:p>
        </w:tc>
        <w:tc>
          <w:tcPr>
            <w:shd w:val="clear" w:color="auto" w:fill="auto"/>
            <w:tcW w:w="691" w:type="dxa"/>
            <w:vAlign w:val="center"/>
            <w:textDirection w:val="lrTb"/>
            <w:noWrap/>
          </w:tcPr>
          <w:p>
            <w:pPr>
              <w:jc w:val="center"/>
              <w:keepLines w:val="0"/>
              <w:keepNext w:val="0"/>
              <w:widowControl/>
              <w:rPr>
                <w:rFonts w:ascii="宋体" w:hAnsi="宋体" w:cs="宋体"/>
                <w:color w:val="auto"/>
                <w:sz w:val="24"/>
                <w:szCs w:val="24"/>
                <w:highlight w:val="none"/>
                <w:lang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4083" w:type="pct"/>
            <w:vAlign w:val="center"/>
            <w:textDirection w:val="lrTb"/>
            <w:noWrap w:val="false"/>
          </w:tcPr>
          <w:p>
            <w:pPr>
              <w:jc w:val="left"/>
              <w:spacing w:line="360" w:lineRule="atLeast"/>
              <w:rPr>
                <w:rFonts w:ascii="宋体" w:hAnsi="宋体" w:cs="宋体"/>
                <w:color w:val="auto"/>
                <w:szCs w:val="21"/>
                <w:highlight w:val="none"/>
              </w:rPr>
            </w:pPr>
            <w:r>
              <w:rPr>
                <w:rFonts w:hint="eastAsia" w:ascii="宋体" w:hAnsi="宋体" w:cs="宋体"/>
                <w:color w:val="auto"/>
                <w:szCs w:val="21"/>
                <w:highlight w:val="none"/>
              </w:rPr>
              <w:t xml:space="preserve">统计分析：年度体检量、体检客户年龄分布、科室年度收入、月度收入、同比环比情况、团检个检人数及占比等。</w:t>
            </w:r>
            <w:r/>
          </w:p>
          <w:p>
            <w:pPr>
              <w:spacing w:line="360" w:lineRule="atLeast"/>
              <w:widowControl/>
              <w:rPr>
                <w:rFonts w:ascii="宋体" w:hAnsi="宋体" w:cs="宋体"/>
                <w:color w:val="auto"/>
                <w:szCs w:val="21"/>
                <w:highlight w:val="none"/>
                <w:lang w:bidi="ar"/>
              </w:rPr>
            </w:pPr>
            <w:r>
              <w:rPr>
                <w:rFonts w:hint="eastAsia" w:ascii="宋体" w:hAnsi="宋体" w:cs="宋体"/>
                <w:color w:val="auto"/>
                <w:szCs w:val="21"/>
                <w:highlight w:val="none"/>
              </w:rPr>
              <w:t xml:space="preserve">体检工作量、工作人员工作量及其他统计分析报表等。</w:t>
            </w:r>
            <w:r/>
          </w:p>
        </w:tc>
      </w:tr>
    </w:tbl>
    <w:p>
      <w:pPr>
        <w:ind w:firstLine="420"/>
        <w:spacing w:line="360" w:lineRule="exact"/>
        <w:tabs>
          <w:tab w:val="left" w:pos="284" w:leader="none"/>
        </w:tabs>
        <w:rPr>
          <w:rFonts w:ascii="宋体" w:hAnsi="宋体" w:cs="宋体"/>
          <w:color w:val="auto"/>
          <w:szCs w:val="21"/>
          <w:highlight w:val="none"/>
        </w:rPr>
      </w:pPr>
      <w:r>
        <w:rPr>
          <w:rFonts w:hint="eastAsia" w:ascii="宋体" w:hAnsi="宋体" w:cs="宋体"/>
          <w:color w:val="auto"/>
          <w:szCs w:val="21"/>
          <w:highlight w:val="none"/>
        </w:rPr>
        <w:t xml:space="preserve">3、智能导检系统</w:t>
      </w:r>
      <w:r/>
    </w:p>
    <w:tbl>
      <w:tblPr>
        <w:tblStyle w:val="877"/>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060"/>
        <w:gridCol w:w="689"/>
        <w:gridCol w:w="7532"/>
      </w:tblGrid>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功能模块描述</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restart"/>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智能导检</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角色管理：一个用户多个角色，不同角色不同权限；权限控制可控制菜单显示、导诊台队列显示及操作权限。</w:t>
            </w:r>
            <w:r/>
          </w:p>
        </w:tc>
      </w:tr>
      <w:tr>
        <w:trPr>
          <w:trHeight w:val="2029"/>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客户管理：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支持根据不同体检类型在排队显示屏分类显示，如入伍体检、入职体检、健康证体检等。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支持排队列表显示客户状态图标及文字，如正常、迟到、锁定、未签到、就餐状态等。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支持排队列表显示客户性别图标等。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支持对客户进行标签管理，如糖尿病、行动不便、VIP等。</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智能算法：全程智能科学分配，也可人工干预，进行局部的调整，全程可管可控。</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预警提示：区域、诊室、瓶颈项目饱和度超过阈值时管理者会收到预警信息，从而方便管理者调整人员应对现场状况。</w:t>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▲虚拟占位，无痕插队：支持设置插队规则，实现虚拟占位，无痕插队，如每个科室排队列表第二名或第三名用虚拟名称排队，遇到VIP、残疾人、老年人等特殊群体，可直接无痕插队进行优先检查。</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项目依赖：支持设定项目检查前置顺序，如完成A项目才能检查B项目，系统自动优先排入A项目。</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主诉录入：支持客户体检时进行主诉信息录入，方便科室参考。</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▲知情告知：支持对特殊检查科室的知情告知提醒，规避医疗风险。（需提供现场演示）</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项目放弃：支持客户对不检查项目的放弃处理，减少不必要的走动。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单科调整：瓶颈项目独立队列，并可设置检查上限。</w:t>
            </w:r>
            <w:r/>
          </w:p>
        </w:tc>
      </w:tr>
      <w:tr>
        <w:trPr>
          <w:trHeight w:val="516"/>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按需定制：支持根据体检中心的现场情况提供导检流程的个性化解决方案。</w:t>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支持多队列：按照体检中心需求可设置单条或多条队列，缩短客户在检时间。</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多途径通知：支持通过诊间屏、综合屏、医生呼叫器、护士导检台、自助机、小程序等多终端信息指引，为体检用户推送体检科室。</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过号处理：支持过号自动退位，退位数量可自定义，重复过号退位可以叠加，叠加数量可自定义。</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独立配置：支持医生可检项目的设置，比如医生没心脏彩超的检查资质或没有配备探头，可不予排队。</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复检功能：支持科室检查需要复检的功能，比如女性盆腔超声需要膀胱充盈，等憋尿好了后再进入科室。</w:t>
            </w:r>
            <w:r/>
          </w:p>
        </w:tc>
      </w:tr>
      <w:tr>
        <w:trPr>
          <w:trHeight w:val="1156"/>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提醒功能：支持体检后自定义延时提醒，比如呼气试验吃药后20分钟发送吹气提醒；支持进入科室，发送检查科室的温馨提醒；支持抵达指定位置后的即将检查的提醒信息；支持进入指定区域后的信息提示。</w:t>
            </w:r>
            <w:r/>
          </w:p>
        </w:tc>
      </w:tr>
      <w:tr>
        <w:trPr>
          <w:trHeight w:val="2321"/>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导检规则：可实现设定优先排队规则，如空腹项目优先（腹彩、抽血、C13、C14、肠胃超声等）；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支持设定项目依赖规则，如导检系统识别到客户已测量身高体重后，再排骨密度、动脉硬化等；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分区导检，如：男女区、VIP区；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可设置优先排入等候时间最短的科室还是距离现在位置最近的科室；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支持保障瓶颈项目（超声、核磁）先到先排，实现排队公平合理。</w:t>
            </w:r>
            <w:r/>
          </w:p>
        </w:tc>
      </w:tr>
      <w:tr>
        <w:trPr>
          <w:trHeight w:val="369"/>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导检查询：实现导检、科室、管理人员实时查看、调阅、调整排队顺序等功能。</w:t>
            </w:r>
            <w:r/>
          </w:p>
        </w:tc>
      </w:tr>
      <w:tr>
        <w:trPr>
          <w:trHeight w:val="553"/>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eastAsia="宋体" w:cs="宋体"/>
                <w:b/>
                <w:bCs/>
                <w:i w:val="0"/>
                <w:iCs w:val="0"/>
                <w:color w:val="auto"/>
                <w:sz w:val="21"/>
                <w:szCs w:val="21"/>
                <w:highlight w:val="none"/>
                <w:u w:val="none"/>
                <w:lang w:val="en-US" w:eastAsia="zh-CN" w:bidi="ar"/>
              </w:rPr>
              <w:t xml:space="preserve">支持两个或两个以上人员绑定排队，并设定主从关系，在系统中进行特殊标记并在呼叫器与显示屏有明确标识</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cs="宋体"/>
                <w:b/>
                <w:bCs/>
                <w:color w:val="auto"/>
                <w:szCs w:val="21"/>
                <w:highlight w:val="none"/>
                <w:lang w:bidi="ar"/>
              </w:rPr>
              <w:t xml:space="preserve">（需提供现场演示）</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餐厅管理：支持对用户就餐状态提醒功能；支持扫码变更就餐状态功能；支持对就餐情况进行统计功能，包含已就餐、未就餐、可就餐等。</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客户评价：嵌入客户评价模块，让客户参与到体检中心的管理当中，收集客户匿名评价、实时建议、管理者可跟踪处理、做为绩效评估依据。</w:t>
            </w:r>
            <w:r/>
          </w:p>
        </w:tc>
      </w:tr>
      <w:tr>
        <w:trPr>
          <w:trHeight w:val="1811"/>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后台管理：支持对系统客户类型进行统一管理功能，包含客户类型名称、显示端图标、状态等信息；支持对客户类型判定条件进行个性化设定功能；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支持对科室信息进行维护功能，包含科室封面、科室介绍视频、科室简介等；支持对科室进行批量新增、连续新增、导入、导出以及通过数据对接方式实时同步体检科室信息，实现多渠道数据同步功能。</w:t>
            </w:r>
            <w:r/>
          </w:p>
        </w:tc>
      </w:tr>
      <w:tr>
        <w:trPr>
          <w:trHeight w:val="1475"/>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压力监测系统：支持对诊室预警规则自定义设置功能，支持预警值自动计算与设置阈值计算，支持按比例计算与自定义时长计算；支持对不同时间各科室压力情况进行监测，支持对某一段时间科室压力变化情况进行动态分析，可查询历史压力情况；支持对科室不同时间应检人数、已检人数、未检人数进行查询分析。</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vMerge w:val="continue"/>
            <w:textDirection w:val="lrTb"/>
            <w:noWrap/>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57"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人员轨迹管理：支持对客户各科室检查明细进行统计分析，包括各科室检查时长、开始检查时间、结束检查时间、检查医生等；支持对客户检查轨迹按楼层、按科室进行轨迹路线显示；支持对客户各科室检查时长评估功能，根据检查时长进行不同等级标记，分为拥挤、严重、适中、正常等，提供队列优化决策基础。</w:t>
            </w:r>
            <w:r/>
          </w:p>
        </w:tc>
      </w:tr>
    </w:tbl>
    <w:p>
      <w:pPr>
        <w:ind w:right="210" w:firstLine="422"/>
        <w:jc w:val="left"/>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4、职业健康体检系统</w:t>
      </w:r>
      <w:r/>
    </w:p>
    <w:tbl>
      <w:tblPr>
        <w:tblStyle w:val="87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010"/>
        <w:gridCol w:w="704"/>
        <w:gridCol w:w="7572"/>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功能模块描述</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职业健康体检系统</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国家标准：参照中华人民共和国《GBZ188-2014职业健康监护技术规范》、《中华人民共和国职业病防治法》，遵循职业病体检流程设计研发。</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订单设置：在设置订单时，勾选职业病检查，自动弹出企业信息必填项。</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套餐设置：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1、根据不同工种选择岗位类型及接害因素，自动关联相应的必检项目，如果勾选多个接害因素，必检项目自动去重。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2、项目可进行折扣设置。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3、根据系统中的名单模板导入体检职工信息，根据工种、岗位类型、接害因素自动匹配到相应的组别中。</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▲问卷管理：支持职工在手机端填写职业健康问卷的基本信息，自动同步到体检系统，各科室及总检老师均可调阅。</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前台登记：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1、采集客户个人信息及人脸信息。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2、打印专业的职业病体检单。</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科室检查：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1、通过人脸识别进行登记，百分之百防止替检、混检。</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2、医生可查看职工历年本科室阳性结果，及历次体检结果。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3、医生勾选相应的项目描述，系统自动生成对应的职业小结。</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职业总检：总检医生可以看到职工本次体检职业问诊问卷，及所有的历年报告、体检信息等，并根据本次职业问诊问卷、各科室小结、阳性结果，自动生成职业总检建议，总检建议可以手动进行修改。总检医生可以根据相应结果下相应的职业体检结论。</w:t>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职业报告：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1、总检后的检查数据自动生成符合国家标准的职业体检报告书，并可导出PDF电子版报告书。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2、支持生成符合国家及当地标准的团队职业汇总报告。</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职业统计：支持根据体检中心提出的统计模板生成相应的统计报表。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设备对接：支持与职业健康体检所需各类仪器设备对接，如:肺功能、纯音听力等；提高检查效率，缩短出具报告的时间。</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76" w:type="pct"/>
            <w:vAlign w:val="center"/>
            <w:textDirection w:val="lrTb"/>
            <w:noWrap w:val="false"/>
          </w:tcPr>
          <w:p>
            <w:pPr>
              <w:jc w:val="left"/>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▲一键网报：支持对接省平台，或国家平台，实现职业健康体检结果数据的上报功能。</w:t>
            </w:r>
            <w:r/>
          </w:p>
        </w:tc>
      </w:tr>
    </w:tbl>
    <w:p>
      <w:pPr>
        <w:ind w:right="210" w:firstLine="422"/>
        <w:jc w:val="left"/>
        <w:spacing w:line="36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5、硬件设备参数</w:t>
      </w:r>
      <w:r/>
    </w:p>
    <w:tbl>
      <w:tblPr>
        <w:tblStyle w:val="87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56"/>
        <w:gridCol w:w="5988"/>
        <w:gridCol w:w="1210"/>
      </w:tblGrid>
      <w:tr>
        <w:trPr>
          <w:trHeight w:val="833"/>
          <w:tblHeader/>
        </w:trPr>
        <w:tc>
          <w:tcPr>
            <w:shd w:val="clear" w:color="000000" w:fill="ffffff" w:themeFill="background1"/>
            <w:tcW w:w="448"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000000" w:fill="ffffff" w:themeFill="background1"/>
            <w:tcW w:w="676"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产品名称</w:t>
            </w:r>
            <w:r/>
          </w:p>
        </w:tc>
        <w:tc>
          <w:tcPr>
            <w:shd w:val="clear" w:color="000000" w:fill="ffffff" w:themeFill="background1"/>
            <w:tcW w:w="322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参数</w:t>
            </w:r>
            <w:r/>
          </w:p>
        </w:tc>
        <w:tc>
          <w:tcPr>
            <w:shd w:val="clear" w:color="000000" w:fill="ffffff" w:themeFill="background1"/>
            <w:tcW w:w="651"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数量</w:t>
            </w:r>
            <w:r/>
          </w:p>
        </w:tc>
      </w:tr>
      <w:tr>
        <w:trPr/>
        <w:tc>
          <w:tcPr>
            <w:shd w:val="clear" w:color="auto" w:fill="auto"/>
            <w:tcW w:w="448"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W w:w="67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21.5寸导诊一体机</w:t>
            </w:r>
            <w:r/>
          </w:p>
        </w:tc>
        <w:tc>
          <w:tcPr>
            <w:shd w:val="clear" w:color="auto" w:fill="auto"/>
            <w:tcW w:w="322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1、液晶尺寸：≥21.5寸</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2、工控主板：≥RK 352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3、CPU：≥四核32位Cortex-A53频率高达 1.0Ghz</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4、内存：≥ 2G  硬盘：≥32G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5、网卡：集成百兆以太网控制器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6、显示区域：≥476.064（H）×267.786(V)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7、显示分辨率：≥1920（垂直）×1080（水平）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8、屏幕比例：≥16:9　面板亮度：≥280 cd/m2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9、可视角度：全视角　显示色彩：≥16.7M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10、对比度：≥1000:1　喇叭功率：2 x8Ω 3W；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11、颜色：黑色/白色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12、操作系统：≥Android 7.0系统及以上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13、后台发布系统功能支持支持设置节目列表，可对节目进行删除、预览、发布和编辑、支持同步设置节目名称、节目内容、节目时长、播放类型、播放时间、支持定时开关机。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外壳要求：考虑医用环境中设备应具备盐雾、防尘、防水、钢球实验具有第三方检测中心出具的检测报告，检测报告须包括：盐雾试验、防尘试验、防水试验、钢球试验（需提供具有CMA或者CNAS认证检测中心认证公司出具的检验或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15、▲为了保证项目的交付质量，要求投标人或投标投标的导诊系统制造商具有良好的信誉，投标人或投标的导诊系统制造商须符合GB/T31950标准（提供证书复印件）</w:t>
            </w:r>
            <w:r/>
          </w:p>
        </w:tc>
        <w:tc>
          <w:tcPr>
            <w:shd w:val="clear" w:color="auto" w:fill="auto"/>
            <w:tcW w:w="65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r>
      <w:tr>
        <w:trPr/>
        <w:tc>
          <w:tcPr>
            <w:shd w:val="clear" w:color="auto" w:fill="auto"/>
            <w:tcW w:w="448" w:type="pct"/>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W w:w="67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22寸落地查询机</w:t>
            </w:r>
            <w:r/>
          </w:p>
        </w:tc>
        <w:tc>
          <w:tcPr>
            <w:shd w:val="clear" w:color="auto" w:fill="auto"/>
            <w:tcW w:w="322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1、液晶尺寸：≥22寸</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2、工控主板：≥intel I5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3、CPU：≥双核 2.4Ghz</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4、内存：≥8G、硬盘：≥128G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5、显示区域：≥476.064（H）×267.786(V)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6、显示分辨率：≥1920（垂直）×1080（水平）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7、屏幕比例：16:9、面板亮度：250 cd/m2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8、可视角度：全视角、显示色彩：16.7M 、对比度：1000:1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9、触摸屏：投射式电容多点触摸屏，分辩率：≥4096*4096</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10、喇叭功率：2 x8Ω5W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11、颜色：白（可按要求定制）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12、支持：一维二维扫描读取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13、操作系统：Windows 7/10系统及以上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14、▲为了确保投标的医疗信息系统终端设备中的铅、汞、镉、六价铬、多溴 联苯和多溴二苯醚等有害物质含量不超标，从而保护环境和人类健康， 要求投标产品需要通过GB/T24001（提供证书复印件）</w:t>
            </w:r>
            <w:r/>
          </w:p>
        </w:tc>
        <w:tc>
          <w:tcPr>
            <w:shd w:val="clear" w:color="auto" w:fill="auto"/>
            <w:tcW w:w="65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r>
      <w:tr>
        <w:trPr/>
        <w:tc>
          <w:tcPr>
            <w:shd w:val="clear" w:color="000000" w:fill="ffffff" w:themeFill="background1"/>
            <w:tcW w:w="448" w:type="pct"/>
            <w:vAlign w:val="center"/>
            <w:textDirection w:val="lrTb"/>
            <w:noWrap/>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c>
          <w:tcPr>
            <w:shd w:val="clear" w:color="000000" w:fill="ffffff" w:themeFill="background1"/>
            <w:tcW w:w="67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32寸体检自助机</w:t>
            </w:r>
            <w:r/>
          </w:p>
        </w:tc>
        <w:tc>
          <w:tcPr>
            <w:shd w:val="clear" w:color="000000" w:fill="ffffff" w:themeFill="background1"/>
            <w:tcW w:w="3223"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液晶尺寸：≥32寸 液晶液晶屏 （A+级）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显示区域：697.68(横)×392.26(竖) mm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显示分辨率：≥1920*（垂直）×1080水平）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屏幕比例：16:9</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面板亮度：≥300 cd/m2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可视角度：全视角</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显示色彩：≥16.7M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对比度：≥3000:1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触摸参数:触摸嵌入方式：一体式G+G电容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CPU：≥双核3.4GHZ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芯片组：INTEL H81 芯片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集成显卡：Intel HD Graphics 4400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内存：≥DDR3 8G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硬盘：≥M-SATA SSD128 GB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模块：身份证阅读器、二维扫描模块、激光打印机、凭条打印机、热敏标签打印机、双目摄像头</w:t>
            </w:r>
            <w:r/>
          </w:p>
        </w:tc>
        <w:tc>
          <w:tcPr>
            <w:shd w:val="clear" w:color="000000" w:fill="ffffff" w:themeFill="background1"/>
            <w:tcW w:w="651"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r>
    </w:tbl>
    <w:p>
      <w:pPr>
        <w:ind w:firstLine="482"/>
        <w:spacing w:line="360" w:lineRule="exact"/>
        <w:rPr>
          <w:rFonts w:hint="eastAsia" w:ascii="宋体" w:hAnsi="宋体" w:cs="宋体"/>
          <w:b/>
          <w:bCs/>
          <w:color w:val="auto"/>
          <w:sz w:val="24"/>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院内相关业务系统对接，系统接口包含：HIS、LIS、PACS、心电系统等系统接口。</w:t>
      </w:r>
      <w:r>
        <w:rPr>
          <w:rFonts w:hint="eastAsia" w:ascii="宋体" w:hAnsi="宋体" w:cs="宋体"/>
          <w:b/>
          <w:bCs/>
          <w:color w:val="auto"/>
          <w:szCs w:val="21"/>
          <w:highlight w:val="none"/>
        </w:rPr>
        <w:t xml:space="preserve">（采购人协调相关信息系统厂家按照供应商及采购人业务要求提供接口，并组织协调供应商与相关信息系统对接，涉及接口费用由采购人承担。）</w:t>
      </w:r>
      <w:r/>
    </w:p>
    <w:p>
      <w:pPr>
        <w:ind w:firstLine="482"/>
        <w:jc w:val="left"/>
        <w:spacing w:line="3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、报价方式</w:t>
      </w:r>
      <w:r/>
    </w:p>
    <w:p>
      <w:pPr>
        <w:ind w:firstLine="480"/>
        <w:spacing w:line="360" w:lineRule="exact"/>
        <w:tabs>
          <w:tab w:val="left" w:pos="284" w:leader="none"/>
        </w:tabs>
        <w:rPr>
          <w:rFonts w:ascii="宋体" w:hAnsi="宋体" w:cs="宋体"/>
          <w:color w:val="auto"/>
          <w:sz w:val="24"/>
          <w:highlight w:val="none"/>
        </w:rPr>
      </w:pPr>
      <w:r>
        <w:rPr>
          <w:rFonts w:hint="eastAsia" w:ascii="宋体" w:hAnsi="宋体"/>
          <w:color w:val="auto"/>
          <w:sz w:val="24"/>
          <w:highlight w:val="none"/>
        </w:rPr>
        <w:t xml:space="preserve">本项目投标报价为</w:t>
      </w:r>
      <w:r>
        <w:rPr>
          <w:rFonts w:hint="eastAsia" w:ascii="宋体" w:hAnsi="宋体"/>
          <w:b/>
          <w:color w:val="auto"/>
          <w:sz w:val="24"/>
          <w:highlight w:val="none"/>
          <w:u w:val="single"/>
        </w:rPr>
        <w:t xml:space="preserve">固定总价</w:t>
      </w:r>
      <w:r>
        <w:rPr>
          <w:rFonts w:hint="eastAsia" w:ascii="宋体" w:hAnsi="宋体"/>
          <w:color w:val="auto"/>
          <w:sz w:val="24"/>
          <w:highlight w:val="none"/>
        </w:rPr>
        <w:t xml:space="preserve">，投标报价</w:t>
      </w:r>
      <w:r>
        <w:rPr>
          <w:rFonts w:hint="eastAsia" w:ascii="宋体" w:hAnsi="宋体" w:cs="宋体"/>
          <w:color w:val="auto"/>
          <w:sz w:val="24"/>
          <w:highlight w:val="none"/>
        </w:rPr>
        <w:t xml:space="preserve">应包括采购文件所确定的采购范围相应服务的提供、人员（包括工资和补贴）、办公场所及设施、运输费、基础费、安装调试、检测费、培训、保险、劳保、管理、各种税费、利润、税金、政策性文件规定及合同包含的所有风险、责任等各项应有费用，以及为完成该项服务项目所涉及到的一切相关费用，采购人不再支付其他任何费用。</w:t>
      </w:r>
      <w:r/>
    </w:p>
    <w:p>
      <w:pPr>
        <w:ind w:firstLine="482"/>
        <w:jc w:val="left"/>
        <w:spacing w:line="3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、交货及安装要求</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1.交货日期：自合同签订后</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0天内完成系统部署并交付。如在规定的时间内由于中标人的原因不能交付的，中标人应承担由此给采购人造成的损失。</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2.交货地点：采购人</w:t>
      </w:r>
      <w:r>
        <w:rPr>
          <w:rFonts w:ascii="宋体" w:hAnsi="宋体" w:cs="宋体"/>
          <w:color w:val="auto"/>
          <w:sz w:val="24"/>
          <w:highlight w:val="none"/>
        </w:rPr>
        <w:t xml:space="preserve">指定地点</w:t>
      </w:r>
      <w:r>
        <w:rPr>
          <w:rFonts w:hint="eastAsia" w:ascii="宋体" w:hAnsi="宋体" w:cs="宋体"/>
          <w:color w:val="auto"/>
          <w:sz w:val="24"/>
          <w:highlight w:val="none"/>
        </w:rPr>
        <w:t xml:space="preserve">。</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w:t>
      </w:r>
      <w:r>
        <w:rPr>
          <w:rFonts w:hint="eastAsia" w:ascii="宋体" w:hAnsi="宋体" w:cs="宋体"/>
          <w:color w:val="auto"/>
          <w:sz w:val="24"/>
          <w:highlight w:val="none"/>
        </w:rPr>
        <w:t xml:space="preserve">安装标准：符合我国国家有关技术规范要求和技术标准。</w:t>
      </w: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投标人应在投标文件中提供其安装调试过程中医院需配合的内容。</w:t>
      </w:r>
      <w:r/>
    </w:p>
    <w:p>
      <w:pPr>
        <w:ind w:firstLine="480"/>
        <w:jc w:val="left"/>
        <w:spacing w:line="360" w:lineRule="exact"/>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在项目实施过程中，向采购人提供齐全的电子版和书面的操作说明等文档。</w:t>
      </w:r>
      <w:r/>
    </w:p>
    <w:p>
      <w:pPr>
        <w:ind w:firstLine="482"/>
        <w:jc w:val="left"/>
        <w:spacing w:line="3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、验收标准</w:t>
      </w:r>
      <w:r/>
    </w:p>
    <w:p>
      <w:pPr>
        <w:ind w:firstLine="480"/>
        <w:jc w:val="left"/>
        <w:spacing w:line="360" w:lineRule="exact"/>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投标人应提供项目相关软件、设备的有效验收文件，经采购人认可后，作为验收标准。采购人对项目验收合格后，双方共同签署验收合格证书并加盖公章。验收中发现软件、设备达不到验收标准或合同规定的性能指标，中标人必须修改相应内容，以满足采购人需求。</w:t>
      </w:r>
      <w:r/>
    </w:p>
    <w:p>
      <w:pPr>
        <w:ind w:firstLine="480"/>
        <w:jc w:val="left"/>
        <w:spacing w:line="36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自合同签订后，2个月内完成系统的初试，试运行正常一个月后，组织项目终验。</w:t>
      </w:r>
      <w:r/>
    </w:p>
    <w:p>
      <w:pPr>
        <w:ind w:firstLine="480"/>
        <w:jc w:val="left"/>
        <w:spacing w:line="360" w:lineRule="exact"/>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验收费用由供应商负责，如项目验收采购人需请第三方监理公司，则第三方监理公司的费用由采购人自身承担。</w:t>
      </w:r>
      <w:r/>
    </w:p>
    <w:p>
      <w:pPr>
        <w:ind w:firstLine="480"/>
        <w:jc w:val="left"/>
        <w:spacing w:line="360" w:lineRule="exact"/>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若因供应商原因，逾期未能通过验收时，采购人有权终止合同。。</w:t>
      </w:r>
      <w:r/>
    </w:p>
    <w:p>
      <w:pPr>
        <w:ind w:firstLine="482"/>
        <w:jc w:val="left"/>
        <w:spacing w:line="3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、维保期及售后服务</w:t>
      </w:r>
      <w:r/>
    </w:p>
    <w:p>
      <w:pPr>
        <w:ind w:firstLine="482"/>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（一）维保期</w:t>
      </w:r>
      <w:r/>
    </w:p>
    <w:p>
      <w:pPr>
        <w:ind w:firstLine="480"/>
        <w:spacing w:line="360" w:lineRule="exact"/>
        <w:rPr>
          <w:rFonts w:ascii="宋体" w:hAnsi="宋体"/>
          <w:color w:val="auto"/>
          <w:sz w:val="24"/>
          <w:highlight w:val="none"/>
        </w:rPr>
      </w:pPr>
      <w:r>
        <w:rPr>
          <w:rFonts w:hint="eastAsia" w:ascii="宋体" w:hAnsi="宋体"/>
          <w:color w:val="auto"/>
          <w:sz w:val="24"/>
          <w:highlight w:val="none"/>
        </w:rPr>
        <w:t xml:space="preserve">整体系统验收合格后免费</w:t>
      </w:r>
      <w:r>
        <w:rPr>
          <w:rFonts w:hint="eastAsia" w:ascii="宋体" w:hAnsi="宋体"/>
          <w:color w:val="auto"/>
          <w:sz w:val="24"/>
          <w:highlight w:val="none"/>
        </w:rPr>
        <w:t xml:space="preserve">维保2年</w:t>
      </w:r>
      <w:r>
        <w:rPr>
          <w:rFonts w:hint="eastAsia" w:ascii="宋体" w:hAnsi="宋体"/>
          <w:color w:val="auto"/>
          <w:sz w:val="24"/>
          <w:highlight w:val="none"/>
        </w:rPr>
        <w:t xml:space="preserve">。</w:t>
      </w:r>
      <w:r/>
    </w:p>
    <w:p>
      <w:pPr>
        <w:ind w:firstLine="482"/>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（二）售后服务</w:t>
      </w:r>
      <w:r/>
    </w:p>
    <w:p>
      <w:pPr>
        <w:ind w:firstLine="480"/>
        <w:spacing w:line="360" w:lineRule="exact"/>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投标人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在系统的服务期内，投标人应确保系统的正常使用。在接到采购人服务要求后应立即做出回应，并在承诺的服务时间内实施服务。</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7×24小时的免费上门保修服务半小时内响应，</w:t>
      </w:r>
      <w:r>
        <w:rPr>
          <w:rFonts w:ascii="宋体" w:hAnsi="宋体"/>
          <w:color w:val="auto"/>
          <w:sz w:val="24"/>
          <w:highlight w:val="none"/>
        </w:rPr>
        <w:t xml:space="preserve">4</w:t>
      </w:r>
      <w:r>
        <w:rPr>
          <w:rFonts w:hint="eastAsia" w:ascii="宋体" w:hAnsi="宋体"/>
          <w:color w:val="auto"/>
          <w:sz w:val="24"/>
          <w:highlight w:val="none"/>
        </w:rPr>
        <w:t xml:space="preserve">小时内到达现场，24小时内解决故障。</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热线电话服务提供技术咨询、故障诊断、故障排除、以及现场支持等具体的技术支持工作，并对客户投诉做出相应处理。</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ind w:firstLine="480"/>
        <w:spacing w:line="360" w:lineRule="exac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6.系统免费维护期期满后，如果采购人继续聘请供应商对本项目所规定的系统进行维护，每年维护费不超过成交总金额的10%。</w:t>
      </w:r>
      <w:r/>
    </w:p>
    <w:p>
      <w:pPr>
        <w:ind w:firstLine="482"/>
        <w:spacing w:line="360" w:lineRule="exact"/>
        <w:rPr>
          <w:rFonts w:ascii="宋体" w:hAnsi="宋体" w:cs="宋体"/>
          <w:b/>
          <w:color w:val="auto"/>
          <w:sz w:val="24"/>
          <w:highlight w:val="none"/>
        </w:rPr>
      </w:pPr>
      <w:r>
        <w:rPr>
          <w:rFonts w:hint="eastAsia" w:ascii="宋体" w:hAnsi="宋体" w:cs="宋体"/>
          <w:b/>
          <w:color w:val="auto"/>
          <w:sz w:val="24"/>
          <w:highlight w:val="none"/>
        </w:rPr>
        <w:t xml:space="preserve">（三）培训</w:t>
      </w:r>
      <w:r/>
    </w:p>
    <w:p>
      <w:pPr>
        <w:ind w:firstLine="480"/>
        <w:spacing w:line="360" w:lineRule="exact"/>
        <w:rPr>
          <w:rFonts w:ascii="宋体" w:hAnsi="宋体"/>
          <w:color w:val="auto"/>
          <w:sz w:val="24"/>
          <w:highlight w:val="none"/>
        </w:rPr>
      </w:pPr>
      <w:r>
        <w:rPr>
          <w:rFonts w:hint="eastAsia" w:ascii="宋体" w:hAnsi="宋体"/>
          <w:color w:val="auto"/>
          <w:sz w:val="24"/>
          <w:highlight w:val="none"/>
        </w:rPr>
        <w:t xml:space="preserve">投标人应制定详细的培训计划，对使用人员进行操作及相关技术培训。中标人负责采购人的现场技术培训，包括产品的功能、部署条件、部署步骤和注意事项、产品升级、日常维护事项等方面，使采购人达到能独立进行管理、维护测试和故障处理等工作，以使所提供的软件产品能够正常、安全的运行。</w:t>
      </w:r>
      <w:r/>
    </w:p>
    <w:p>
      <w:pPr>
        <w:ind w:firstLine="482"/>
        <w:jc w:val="left"/>
        <w:spacing w:line="360" w:lineRule="exact"/>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、付款方式</w:t>
      </w:r>
      <w:r/>
    </w:p>
    <w:p>
      <w:pPr>
        <w:ind w:firstLine="480"/>
        <w:spacing w:line="360" w:lineRule="exact"/>
        <w:rPr>
          <w:rFonts w:ascii="宋体" w:hAnsi="宋体"/>
          <w:color w:val="auto"/>
          <w:sz w:val="24"/>
          <w:highlight w:val="none"/>
        </w:rPr>
      </w:pPr>
      <w:r>
        <w:rPr>
          <w:rFonts w:hint="eastAsia" w:ascii="宋体" w:hAnsi="宋体"/>
          <w:color w:val="auto"/>
          <w:sz w:val="24"/>
          <w:highlight w:val="none"/>
        </w:rPr>
        <w:t xml:space="preserve">合同签订后15日内采购人向中标人支付合同总额的30%的预付款；系统验收后十五个工作日内，采购人向中标人支付合同总额的</w:t>
      </w:r>
      <w:r>
        <w:rPr>
          <w:rFonts w:ascii="宋体" w:hAnsi="宋体"/>
          <w:color w:val="auto"/>
          <w:sz w:val="24"/>
          <w:highlight w:val="none"/>
        </w:rPr>
        <w:t xml:space="preserve">7</w:t>
      </w:r>
      <w:r>
        <w:rPr>
          <w:rFonts w:hint="eastAsia" w:ascii="宋体" w:hAnsi="宋体"/>
          <w:color w:val="auto"/>
          <w:sz w:val="24"/>
          <w:highlight w:val="none"/>
        </w:rPr>
        <w:t xml:space="preserve">0%货款。</w:t>
      </w:r>
      <w:r/>
    </w:p>
    <w:p>
      <w:pPr>
        <w:pStyle w:val="1141"/>
        <w:contextualSpacing/>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440" w:lineRule="exact"/>
        <w:rPr>
          <w:rFonts w:ascii="宋体" w:hAnsi="宋体"/>
          <w:b/>
          <w:color w:val="auto"/>
          <w:highlight w:val="none"/>
        </w:rPr>
      </w:pPr>
      <w:r>
        <w:rPr>
          <w:rFonts w:ascii="宋体" w:hAnsi="宋体"/>
          <w:b/>
          <w:color w:val="auto"/>
          <w:highlight w:val="none"/>
        </w:rPr>
      </w:r>
      <w:r/>
    </w:p>
    <w:p>
      <w:pPr>
        <w:rPr>
          <w:rFonts w:ascii="宋体" w:hAnsi="宋体"/>
          <w:bCs/>
          <w:color w:val="auto"/>
          <w:highlight w:val="none"/>
        </w:rPr>
      </w:pPr>
      <w:r>
        <w:rPr>
          <w:rFonts w:ascii="宋体" w:hAnsi="宋体"/>
          <w:bCs/>
          <w:color w:val="auto"/>
          <w:highlight w:val="none"/>
        </w:rPr>
      </w:r>
      <w:r/>
    </w:p>
    <w:p>
      <w:pPr>
        <w:rPr>
          <w:rFonts w:ascii="宋体" w:hAnsi="宋体"/>
          <w:color w:val="auto"/>
          <w:highlight w:val="none"/>
        </w:rPr>
      </w:pPr>
      <w:r>
        <w:rPr>
          <w:rFonts w:ascii="宋体" w:hAnsi="宋体"/>
          <w:color w:val="auto"/>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15" w:name="_Toc99301425"/>
      <w:r>
        <w:rPr>
          <w:rFonts w:ascii="宋体" w:hAnsi="宋体"/>
          <w:b/>
          <w:color w:val="auto"/>
          <w:sz w:val="36"/>
          <w:szCs w:val="36"/>
          <w:highlight w:val="none"/>
        </w:rPr>
        <w:br w:type="page" w:clear="all"/>
      </w:r>
      <w:r>
        <w:rPr>
          <w:rFonts w:ascii="宋体" w:hAnsi="宋体"/>
          <w:b/>
          <w:color w:val="auto"/>
          <w:sz w:val="36"/>
          <w:szCs w:val="36"/>
          <w:highlight w:val="none"/>
        </w:rPr>
        <w:t xml:space="preserve">第六章   拟签订的合同文本</w:t>
      </w:r>
      <w:bookmarkEnd w:id="815"/>
      <w:r/>
      <w:r/>
    </w:p>
    <w:p>
      <w:pPr>
        <w:pStyle w:val="1086"/>
        <w:spacing w:line="360" w:lineRule="auto"/>
        <w:rPr>
          <w:rFonts w:hAnsi="宋体" w:cs="宋体"/>
          <w:color w:val="auto"/>
          <w:sz w:val="24"/>
          <w:szCs w:val="24"/>
          <w:highlight w:val="none"/>
        </w:rPr>
      </w:pPr>
      <w:r>
        <w:rPr>
          <w:rFonts w:hAnsi="宋体" w:cs="宋体"/>
          <w:b/>
          <w:color w:val="auto"/>
          <w:sz w:val="24"/>
          <w:szCs w:val="24"/>
          <w:highlight w:val="none"/>
          <w:lang w:val="zh-CN"/>
        </w:rPr>
        <w:t xml:space="preserve">采购人（以下称甲</w:t>
      </w:r>
      <w:r>
        <w:rPr>
          <w:rFonts w:hAnsi="宋体" w:cs="宋体"/>
          <w:b/>
          <w:color w:val="auto"/>
          <w:sz w:val="24"/>
          <w:szCs w:val="24"/>
          <w:highlight w:val="none"/>
        </w:rPr>
        <w:t xml:space="preserve">方）:                         </w:t>
      </w:r>
      <w:r>
        <w:rPr>
          <w:rFonts w:hAnsi="宋体" w:cs="宋体"/>
          <w:color w:val="auto"/>
          <w:sz w:val="24"/>
          <w:szCs w:val="24"/>
          <w:highlight w:val="none"/>
        </w:rPr>
        <w:t xml:space="preserve">合同编号：</w:t>
      </w:r>
      <w:r/>
    </w:p>
    <w:p>
      <w:pPr>
        <w:pStyle w:val="1086"/>
        <w:spacing w:line="360" w:lineRule="auto"/>
        <w:rPr>
          <w:rFonts w:hAnsi="宋体" w:cs="宋体"/>
          <w:color w:val="auto"/>
          <w:sz w:val="24"/>
          <w:szCs w:val="24"/>
          <w:highlight w:val="none"/>
          <w:u w:val="single"/>
        </w:rPr>
      </w:pPr>
      <w:r>
        <w:rPr>
          <w:rFonts w:hAnsi="宋体" w:cs="宋体"/>
          <w:b/>
          <w:color w:val="auto"/>
          <w:sz w:val="24"/>
          <w:szCs w:val="24"/>
          <w:highlight w:val="none"/>
        </w:rPr>
        <w:t xml:space="preserve">投标人（</w:t>
      </w:r>
      <w:r>
        <w:rPr>
          <w:rFonts w:hAnsi="宋体" w:cs="宋体"/>
          <w:b/>
          <w:color w:val="auto"/>
          <w:sz w:val="24"/>
          <w:szCs w:val="24"/>
          <w:highlight w:val="none"/>
          <w:lang w:val="zh-CN"/>
        </w:rPr>
        <w:t xml:space="preserve">以下称</w:t>
      </w:r>
      <w:r>
        <w:rPr>
          <w:rFonts w:hAnsi="宋体" w:cs="宋体"/>
          <w:b/>
          <w:color w:val="auto"/>
          <w:sz w:val="24"/>
          <w:szCs w:val="24"/>
          <w:highlight w:val="none"/>
        </w:rPr>
        <w:t xml:space="preserve">乙方）:                         </w:t>
      </w:r>
      <w:r>
        <w:rPr>
          <w:rFonts w:hAnsi="宋体" w:cs="宋体"/>
          <w:color w:val="auto"/>
          <w:sz w:val="24"/>
          <w:szCs w:val="24"/>
          <w:highlight w:val="none"/>
        </w:rPr>
        <w:t xml:space="preserve">签订地点：</w:t>
      </w:r>
      <w:r/>
    </w:p>
    <w:p>
      <w:pPr>
        <w:pStyle w:val="1050"/>
        <w:ind w:firstLine="5520"/>
        <w:spacing w:line="360" w:lineRule="auto"/>
        <w:rPr>
          <w:rFonts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r/>
    </w:p>
    <w:p>
      <w:pPr>
        <w:pStyle w:val="1086"/>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pStyle w:val="1086"/>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乙方根据甲方需求提供智慧体检系统，</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建设</w:t>
      </w:r>
      <w:r>
        <w:rPr>
          <w:rFonts w:hint="eastAsia" w:ascii="宋体" w:hAnsi="宋体" w:cs="宋体"/>
          <w:color w:val="auto"/>
          <w:sz w:val="24"/>
          <w:highlight w:val="none"/>
        </w:rPr>
        <w:t xml:space="preserve">清单：</w:t>
      </w:r>
      <w:r/>
    </w:p>
    <w:tbl>
      <w:tblPr>
        <w:tblStyle w:val="877"/>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556"/>
        <w:gridCol w:w="1269"/>
        <w:gridCol w:w="1358"/>
      </w:tblGrid>
      <w:tr>
        <w:trPr>
          <w:trHeight w:val="170"/>
        </w:trPr>
        <w:tc>
          <w:tcPr>
            <w:tcW w:w="594"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99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683"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731"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trHeight w:val="170"/>
        </w:trPr>
        <w:tc>
          <w:tcPr>
            <w:tcW w:w="594"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9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检前预约系统（含小程序）</w:t>
            </w:r>
            <w:r/>
          </w:p>
        </w:tc>
        <w:tc>
          <w:tcPr>
            <w:tcW w:w="683"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731"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170"/>
        </w:trPr>
        <w:tc>
          <w:tcPr>
            <w:tcW w:w="594"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9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体检管理系统</w:t>
            </w:r>
            <w:r/>
          </w:p>
        </w:tc>
        <w:tc>
          <w:tcPr>
            <w:tcW w:w="683"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731"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170"/>
        </w:trPr>
        <w:tc>
          <w:tcPr>
            <w:tcW w:w="594"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9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智能导检系统</w:t>
            </w:r>
            <w:r/>
          </w:p>
        </w:tc>
        <w:tc>
          <w:tcPr>
            <w:tcW w:w="683"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731"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170"/>
        </w:trPr>
        <w:tc>
          <w:tcPr>
            <w:tcW w:w="594"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9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职业健康体检系统</w:t>
            </w:r>
            <w:r/>
          </w:p>
        </w:tc>
        <w:tc>
          <w:tcPr>
            <w:tcW w:w="683"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w:t>
            </w:r>
            <w:r/>
          </w:p>
        </w:tc>
        <w:tc>
          <w:tcPr>
            <w:tcW w:w="731"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r>
      <w:tr>
        <w:trPr>
          <w:trHeight w:val="170"/>
        </w:trPr>
        <w:tc>
          <w:tcPr>
            <w:tcW w:w="594"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99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硬件设备</w:t>
            </w:r>
            <w:r/>
          </w:p>
        </w:tc>
        <w:tc>
          <w:tcPr>
            <w:shd w:val="clear" w:color="auto" w:fill="auto"/>
            <w:tcW w:w="683"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w:t>
            </w:r>
            <w:r/>
          </w:p>
        </w:tc>
        <w:tc>
          <w:tcPr>
            <w:shd w:val="clear" w:color="auto" w:fill="auto"/>
            <w:tcW w:w="731" w:type="pct"/>
            <w:vAlign w:val="center"/>
            <w:textDirection w:val="lrTb"/>
            <w:noWrap/>
          </w:tcPr>
          <w:p>
            <w:pPr>
              <w:jc w:val="center"/>
              <w:keepLines w:val="0"/>
              <w:keepNext w:val="0"/>
              <w:pageBreakBefore w:val="0"/>
              <w:spacing w:line="36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p>
        </w:tc>
      </w:tr>
    </w:tbl>
    <w:p>
      <w:pPr>
        <w:pStyle w:val="1086"/>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2、技术要求（见附件）</w:t>
      </w:r>
      <w:r/>
    </w:p>
    <w:p>
      <w:pPr>
        <w:pStyle w:val="1086"/>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第二条 合同价格</w:t>
      </w:r>
      <w:r/>
    </w:p>
    <w:p>
      <w:pPr>
        <w:pStyle w:val="1086"/>
        <w:ind w:firstLine="482"/>
        <w:jc w:val="left"/>
        <w:spacing w:line="360" w:lineRule="auto"/>
        <w:rPr>
          <w:rFonts w:hAnsi="宋体" w:cs="宋体"/>
          <w:b/>
          <w:color w:val="auto"/>
          <w:sz w:val="24"/>
          <w:szCs w:val="24"/>
          <w:highlight w:val="none"/>
        </w:rPr>
      </w:pPr>
      <w:r>
        <w:rPr>
          <w:rFonts w:hAnsi="宋体" w:cs="宋体"/>
          <w:b/>
          <w:color w:val="auto"/>
          <w:sz w:val="24"/>
          <w:szCs w:val="24"/>
          <w:highlight w:val="none"/>
        </w:rPr>
        <w:t xml:space="preserve">签约合同总价（人民币，下同）：</w:t>
      </w:r>
      <w:r>
        <w:rPr>
          <w:rFonts w:hAnsi="宋体" w:cs="宋体"/>
          <w:b/>
          <w:color w:val="auto"/>
          <w:sz w:val="24"/>
          <w:szCs w:val="24"/>
          <w:highlight w:val="none"/>
          <w:u w:val="single"/>
        </w:rPr>
        <w:t xml:space="preserve">             元</w:t>
      </w:r>
      <w:r>
        <w:rPr>
          <w:rFonts w:hAnsi="宋体" w:cs="宋体"/>
          <w:b/>
          <w:color w:val="auto"/>
          <w:sz w:val="24"/>
          <w:szCs w:val="24"/>
          <w:highlight w:val="none"/>
        </w:rPr>
        <w:t xml:space="preserve">（小写       ）。 </w:t>
      </w:r>
      <w:r/>
    </w:p>
    <w:p>
      <w:pPr>
        <w:pStyle w:val="1086"/>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086"/>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第三条 合同履行期限</w:t>
      </w:r>
      <w:r/>
    </w:p>
    <w:p>
      <w:pPr>
        <w:pStyle w:val="1086"/>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1、建设期限：自合同签订</w:t>
      </w:r>
      <w:r>
        <w:rPr>
          <w:rFonts w:hAnsi="宋体" w:cs="宋体"/>
          <w:color w:val="auto"/>
          <w:sz w:val="24"/>
          <w:szCs w:val="24"/>
          <w:highlight w:val="none"/>
          <w:u w:val="single"/>
        </w:rPr>
        <w:t xml:space="preserve">后     天</w:t>
      </w:r>
      <w:r>
        <w:rPr>
          <w:rFonts w:hAnsi="宋体" w:cs="宋体"/>
          <w:color w:val="auto"/>
          <w:sz w:val="24"/>
          <w:szCs w:val="24"/>
          <w:highlight w:val="none"/>
        </w:rPr>
        <w:t xml:space="preserve">内</w:t>
      </w:r>
      <w:r>
        <w:rPr>
          <w:rFonts w:hint="eastAsia" w:hAnsi="宋体" w:cs="宋体"/>
          <w:color w:val="auto"/>
          <w:sz w:val="24"/>
          <w:szCs w:val="24"/>
          <w:highlight w:val="none"/>
        </w:rPr>
        <w:t xml:space="preserve">完成系统的实施、培训和验收并交付使用</w:t>
      </w:r>
      <w:r>
        <w:rPr>
          <w:rFonts w:hAnsi="宋体" w:cs="宋体"/>
          <w:color w:val="auto"/>
          <w:sz w:val="24"/>
          <w:szCs w:val="24"/>
          <w:highlight w:val="none"/>
        </w:rPr>
        <w:t xml:space="preserve">。如在规定的时间内由于</w:t>
      </w:r>
      <w:r>
        <w:rPr>
          <w:rFonts w:hint="eastAsia" w:hAnsi="宋体" w:cs="宋体"/>
          <w:color w:val="auto"/>
          <w:sz w:val="24"/>
          <w:szCs w:val="24"/>
          <w:highlight w:val="none"/>
          <w:lang w:val="en-US" w:eastAsia="zh-CN"/>
        </w:rPr>
        <w:t xml:space="preserve">乙方</w:t>
      </w:r>
      <w:r>
        <w:rPr>
          <w:rFonts w:hAnsi="宋体" w:cs="宋体"/>
          <w:color w:val="auto"/>
          <w:sz w:val="24"/>
          <w:szCs w:val="24"/>
          <w:highlight w:val="none"/>
        </w:rPr>
        <w:t xml:space="preserve">的原因不能交付的，</w:t>
      </w:r>
      <w:r>
        <w:rPr>
          <w:rFonts w:hint="eastAsia" w:hAnsi="宋体" w:cs="宋体"/>
          <w:color w:val="auto"/>
          <w:sz w:val="24"/>
          <w:szCs w:val="24"/>
          <w:highlight w:val="none"/>
          <w:lang w:val="en-US" w:eastAsia="zh-CN"/>
        </w:rPr>
        <w:t xml:space="preserve">乙方</w:t>
      </w:r>
      <w:r>
        <w:rPr>
          <w:rFonts w:hAnsi="宋体" w:cs="宋体"/>
          <w:color w:val="auto"/>
          <w:sz w:val="24"/>
          <w:szCs w:val="24"/>
          <w:highlight w:val="none"/>
        </w:rPr>
        <w:t xml:space="preserve">应承担由此给</w:t>
      </w:r>
      <w:r>
        <w:rPr>
          <w:rFonts w:hint="eastAsia" w:hAnsi="宋体"/>
          <w:color w:val="auto"/>
          <w:sz w:val="24"/>
          <w:highlight w:val="none"/>
          <w:lang w:val="en-US" w:eastAsia="zh-CN"/>
        </w:rPr>
        <w:t xml:space="preserve">甲方</w:t>
      </w:r>
      <w:r>
        <w:rPr>
          <w:rFonts w:hAnsi="宋体" w:cs="宋体"/>
          <w:color w:val="auto"/>
          <w:sz w:val="24"/>
          <w:szCs w:val="24"/>
          <w:highlight w:val="none"/>
        </w:rPr>
        <w:t xml:space="preserve">造成的损失。</w:t>
      </w:r>
      <w:r/>
    </w:p>
    <w:p>
      <w:pPr>
        <w:pStyle w:val="1086"/>
        <w:ind w:firstLine="480"/>
        <w:spacing w:line="360" w:lineRule="auto"/>
        <w:rPr>
          <w:rFonts w:hAnsi="宋体"/>
          <w:color w:val="auto"/>
          <w:sz w:val="24"/>
          <w:highlight w:val="none"/>
        </w:rPr>
      </w:pPr>
      <w:r>
        <w:rPr>
          <w:rFonts w:hAnsi="宋体" w:cs="宋体"/>
          <w:color w:val="auto"/>
          <w:sz w:val="24"/>
          <w:szCs w:val="24"/>
          <w:highlight w:val="none"/>
        </w:rPr>
        <w:t xml:space="preserve">2、免费维保期：</w:t>
      </w:r>
      <w:r>
        <w:rPr>
          <w:rFonts w:hAnsi="宋体"/>
          <w:color w:val="auto"/>
          <w:sz w:val="24"/>
          <w:highlight w:val="none"/>
        </w:rPr>
        <w:t xml:space="preserve">整体系统验收合格后免费</w:t>
      </w:r>
      <w:r>
        <w:rPr>
          <w:rFonts w:hAnsi="宋体"/>
          <w:color w:val="auto"/>
          <w:sz w:val="24"/>
          <w:highlight w:val="none"/>
        </w:rPr>
        <w:t xml:space="preserve">维保 </w:t>
      </w:r>
      <w:r>
        <w:rPr>
          <w:rFonts w:hAnsi="宋体"/>
          <w:color w:val="auto"/>
          <w:sz w:val="24"/>
          <w:highlight w:val="none"/>
          <w:u w:val="single"/>
        </w:rPr>
        <w:t xml:space="preserve">     </w:t>
      </w:r>
      <w:r>
        <w:rPr>
          <w:rFonts w:hAnsi="宋体"/>
          <w:color w:val="auto"/>
          <w:sz w:val="24"/>
          <w:highlight w:val="none"/>
        </w:rPr>
        <w:t xml:space="preserve">年</w:t>
      </w:r>
      <w:r>
        <w:rPr>
          <w:rFonts w:hAnsi="宋体"/>
          <w:color w:val="auto"/>
          <w:sz w:val="24"/>
          <w:highlight w:val="none"/>
        </w:rPr>
        <w:t xml:space="preserve">。</w:t>
      </w:r>
      <w:r/>
    </w:p>
    <w:p>
      <w:pPr>
        <w:pStyle w:val="1086"/>
        <w:ind w:firstLine="480"/>
        <w:spacing w:line="360" w:lineRule="auto"/>
        <w:rPr>
          <w:rFonts w:hAnsi="宋体"/>
          <w:color w:val="auto"/>
          <w:sz w:val="24"/>
          <w:highlight w:val="none"/>
        </w:rPr>
      </w:pPr>
      <w:r>
        <w:rPr>
          <w:rFonts w:hAnsi="宋体"/>
          <w:color w:val="auto"/>
          <w:sz w:val="24"/>
          <w:highlight w:val="none"/>
        </w:rPr>
        <w:t xml:space="preserve">3、售后服务内容：</w:t>
      </w:r>
      <w:r/>
    </w:p>
    <w:p>
      <w:pPr>
        <w:ind w:firstLine="480"/>
        <w:spacing w:line="360" w:lineRule="exact"/>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所承诺的服务内容应包括：供应商的服务响应及维修等承诺，详细说明服务能力、服务时间、人员配备、系统故障响应、诊断、应急处理、维修和相应的设备更换计划等；</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的技术支持和相应软件的升级承诺等。</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在系统的服务期内，</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应确保系统的正常使用。在接到</w:t>
      </w:r>
      <w:r>
        <w:rPr>
          <w:rFonts w:hint="eastAsia" w:hAnsi="宋体"/>
          <w:color w:val="auto"/>
          <w:sz w:val="24"/>
          <w:highlight w:val="none"/>
          <w:lang w:val="en-US" w:eastAsia="zh-CN"/>
        </w:rPr>
        <w:t xml:space="preserve">甲方</w:t>
      </w:r>
      <w:r>
        <w:rPr>
          <w:rFonts w:hint="eastAsia" w:ascii="宋体" w:hAnsi="宋体"/>
          <w:color w:val="auto"/>
          <w:sz w:val="24"/>
          <w:highlight w:val="none"/>
        </w:rPr>
        <w:t xml:space="preserve">服务要求后应立即做出回应，并在承诺的服务时间内实施服务。</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w:t>
      </w:r>
      <w:r>
        <w:rPr>
          <w:rFonts w:hint="eastAsia" w:ascii="宋体" w:hAnsi="宋体"/>
          <w:color w:val="auto"/>
          <w:sz w:val="24"/>
          <w:highlight w:val="none"/>
        </w:rPr>
        <w:t xml:space="preserve">7×24小时的免费上门保修服务半小时内响应，</w:t>
      </w:r>
      <w:r>
        <w:rPr>
          <w:rFonts w:ascii="宋体" w:hAnsi="宋体"/>
          <w:color w:val="auto"/>
          <w:sz w:val="24"/>
          <w:highlight w:val="none"/>
        </w:rPr>
        <w:t xml:space="preserve">4</w:t>
      </w:r>
      <w:r>
        <w:rPr>
          <w:rFonts w:hint="eastAsia" w:ascii="宋体" w:hAnsi="宋体"/>
          <w:color w:val="auto"/>
          <w:sz w:val="24"/>
          <w:highlight w:val="none"/>
        </w:rPr>
        <w:t xml:space="preserve">小时内到达现场，24小时内解决故障。</w:t>
      </w:r>
      <w:r/>
    </w:p>
    <w:p>
      <w:pPr>
        <w:ind w:firstLine="480"/>
        <w:spacing w:line="36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s="宋体"/>
          <w:color w:val="auto"/>
          <w:sz w:val="24"/>
          <w:highlight w:val="none"/>
        </w:rPr>
        <w:t xml:space="preserve">）</w:t>
      </w:r>
      <w:r>
        <w:rPr>
          <w:rFonts w:hint="eastAsia" w:ascii="宋体" w:hAnsi="宋体"/>
          <w:color w:val="auto"/>
          <w:sz w:val="24"/>
          <w:highlight w:val="none"/>
        </w:rPr>
        <w:t xml:space="preserve">热线电话服务提供技术咨询、故障诊断、故障排除、以及现场支持等具体的技术支持工作，并对客户投诉做出相应处理。</w:t>
      </w:r>
      <w:r/>
    </w:p>
    <w:p>
      <w:pPr>
        <w:pStyle w:val="1086"/>
        <w:ind w:firstLine="480"/>
        <w:spacing w:line="360" w:lineRule="auto"/>
        <w:rPr>
          <w:rFonts w:hAnsi="宋体"/>
          <w:color w:val="auto"/>
          <w:sz w:val="24"/>
          <w:highlight w:val="none"/>
        </w:rPr>
      </w:pPr>
      <w:r>
        <w:rPr>
          <w:rFonts w:hAnsi="宋体"/>
          <w:color w:val="auto"/>
          <w:sz w:val="24"/>
          <w:highlight w:val="none"/>
        </w:rPr>
        <w:t xml:space="preserve">5</w:t>
      </w:r>
      <w:r>
        <w:rPr>
          <w:rFonts w:hAnsi="宋体" w:cs="宋体"/>
          <w:color w:val="auto"/>
          <w:sz w:val="24"/>
          <w:highlight w:val="none"/>
        </w:rPr>
        <w:t xml:space="preserve">）</w:t>
      </w:r>
      <w:r>
        <w:rPr>
          <w:rFonts w:hAnsi="宋体"/>
          <w:color w:val="auto"/>
          <w:sz w:val="24"/>
          <w:highlight w:val="none"/>
        </w:rPr>
        <w:t xml:space="preserve">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pStyle w:val="1086"/>
        <w:ind w:firstLine="480"/>
        <w:spacing w:line="360" w:lineRule="auto"/>
        <w:rPr>
          <w:rFonts w:hAnsi="宋体"/>
          <w:color w:val="auto"/>
          <w:sz w:val="24"/>
          <w:highlight w:val="none"/>
        </w:rPr>
      </w:pPr>
      <w:r>
        <w:rPr>
          <w:rFonts w:hint="eastAsia" w:hAnsi="宋体"/>
          <w:color w:val="auto"/>
          <w:sz w:val="24"/>
          <w:highlight w:val="none"/>
          <w:lang w:val="en-US" w:eastAsia="zh-CN"/>
        </w:rPr>
        <w:t xml:space="preserve">（6）</w:t>
      </w:r>
      <w:r>
        <w:rPr>
          <w:rFonts w:hint="eastAsia" w:ascii="宋体" w:hAnsi="宋体"/>
          <w:color w:val="auto"/>
          <w:sz w:val="24"/>
          <w:highlight w:val="none"/>
          <w:lang w:val="en-US" w:eastAsia="zh-CN"/>
        </w:rPr>
        <w:t xml:space="preserve">系统免费维护期期满后，如果</w:t>
      </w:r>
      <w:r>
        <w:rPr>
          <w:rFonts w:hint="eastAsia" w:hAnsi="宋体"/>
          <w:color w:val="auto"/>
          <w:sz w:val="24"/>
          <w:highlight w:val="none"/>
          <w:lang w:val="en-US" w:eastAsia="zh-CN"/>
        </w:rPr>
        <w:t xml:space="preserve">甲方</w:t>
      </w:r>
      <w:r>
        <w:rPr>
          <w:rFonts w:hint="eastAsia" w:ascii="宋体" w:hAnsi="宋体"/>
          <w:color w:val="auto"/>
          <w:sz w:val="24"/>
          <w:highlight w:val="none"/>
          <w:lang w:val="en-US" w:eastAsia="zh-CN"/>
        </w:rPr>
        <w:t xml:space="preserve">继续聘请供应商对本项目所规定的系统进行维护，每年维护费不超过成交总金额的10%。</w:t>
      </w:r>
      <w:r/>
    </w:p>
    <w:p>
      <w:pPr>
        <w:pStyle w:val="1086"/>
        <w:ind w:firstLine="482"/>
        <w:spacing w:line="360" w:lineRule="auto"/>
        <w:rPr>
          <w:rFonts w:hAnsi="宋体" w:cs="宋体"/>
          <w:b/>
          <w:color w:val="auto"/>
          <w:sz w:val="24"/>
          <w:szCs w:val="24"/>
          <w:highlight w:val="none"/>
        </w:rPr>
      </w:pPr>
      <w:r>
        <w:rPr>
          <w:rFonts w:hAnsi="宋体" w:cs="宋体"/>
          <w:b/>
          <w:color w:val="auto"/>
          <w:sz w:val="24"/>
          <w:szCs w:val="24"/>
          <w:highlight w:val="none"/>
        </w:rPr>
        <w:t xml:space="preserve">第四条 组成本合同的有关文件</w:t>
      </w:r>
      <w:r/>
    </w:p>
    <w:p>
      <w:pPr>
        <w:pStyle w:val="1086"/>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下列与本次采购活动有关的文件及有</w:t>
      </w:r>
      <w:r>
        <w:rPr>
          <w:rFonts w:hAnsi="宋体" w:cs="宋体"/>
          <w:color w:val="auto"/>
          <w:sz w:val="24"/>
          <w:szCs w:val="24"/>
          <w:highlight w:val="none"/>
        </w:rPr>
        <w:t xml:space="preserve">关附件是本合同不可分割的组成部分，与本合同具有同等法律效力，这些文件包括但不限于：</w:t>
      </w:r>
      <w:r/>
    </w:p>
    <w:p>
      <w:pPr>
        <w:pStyle w:val="1086"/>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（1）招标采购文件（编号：   ）           （2）乙方提供的投标文件； </w:t>
      </w:r>
      <w:r/>
    </w:p>
    <w:p>
      <w:pPr>
        <w:pStyle w:val="1086"/>
        <w:ind w:firstLine="480"/>
        <w:spacing w:line="360" w:lineRule="auto"/>
        <w:rPr>
          <w:rFonts w:hAnsi="宋体" w:cs="宋体"/>
          <w:color w:val="auto"/>
          <w:sz w:val="24"/>
          <w:szCs w:val="24"/>
          <w:highlight w:val="none"/>
        </w:rPr>
      </w:pPr>
      <w:r>
        <w:rPr>
          <w:rFonts w:hAnsi="宋体" w:cs="宋体"/>
          <w:color w:val="auto"/>
          <w:sz w:val="24"/>
          <w:szCs w:val="24"/>
          <w:highlight w:val="none"/>
        </w:rPr>
        <w:t xml:space="preserve">（3）中标通知书；                        （4）甲乙双方商定的其他文件等。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3.结算原则：固定总价</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4.付款方式：合同签订后15日内甲方向乙方支付合同总额的30%的预付款；系统到货完成安装调试、投入运行、并经验收合格后，甲方向乙方支付合同总额的70%货款。</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2.乙方未按本合同的规定和“服务承诺”提供伴随服务的，甲方有权提前解除本合同，同时乙方应按合同总价款的5 %向甲方承担违约责任。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.乙方投标属虚假承诺，或是由于乙方的过错造成合同无法继续履行的，乙方应向甲方支付不少于合同总价30%违约金，若该违约金不足以弥补甲方损失，则应当赔偿甲方所有损失。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.其他未尽事宜，以《民法典》等有关法律法规规定为准，无相关规定的，双方协商解决。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w:t>
      </w:r>
      <w:r>
        <w:rPr>
          <w:rFonts w:hint="eastAsia" w:ascii="宋体" w:hAnsi="宋体" w:cs="宋体"/>
          <w:color w:val="auto"/>
          <w:sz w:val="24"/>
          <w:highlight w:val="none"/>
          <w:u w:val="single"/>
        </w:rPr>
        <w:t xml:space="preserve">   个</w:t>
      </w:r>
      <w:r>
        <w:rPr>
          <w:rFonts w:hint="eastAsia" w:ascii="宋体" w:hAnsi="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jc w:val="left"/>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乙    方</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单位名称（章）：                          单位名称（章）：</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单位地址：                               单位地址：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            传真：</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开户银行：        账号：</w:t>
      </w:r>
      <w:r/>
    </w:p>
    <w:p>
      <w:pPr>
        <w:jc w:val="center"/>
        <w:spacing w:line="360" w:lineRule="auto"/>
        <w:rPr>
          <w:rFonts w:ascii="宋体" w:hAnsi="宋体"/>
          <w:b/>
          <w:color w:val="auto"/>
          <w:sz w:val="36"/>
          <w:szCs w:val="36"/>
          <w:highlight w:val="none"/>
        </w:rPr>
      </w:pPr>
      <w:r>
        <w:rPr>
          <w:rFonts w:ascii="宋体" w:hAnsi="宋体" w:cs="宋体"/>
          <w:color w:val="auto"/>
          <w:sz w:val="24"/>
          <w:highlight w:val="none"/>
        </w:rPr>
        <w:br w:type="page" w:clear="all"/>
      </w:r>
      <w:bookmarkStart w:id="816" w:name="_Toc99301426"/>
      <w:r>
        <w:rPr>
          <w:rFonts w:ascii="宋体" w:hAnsi="宋体"/>
          <w:b/>
          <w:color w:val="auto"/>
          <w:sz w:val="36"/>
          <w:szCs w:val="36"/>
          <w:highlight w:val="none"/>
        </w:rPr>
        <w:t xml:space="preserve">第七章   投标文件格式</w:t>
      </w:r>
      <w:bookmarkEnd w:id="816"/>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firstLine="48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b/>
          <w:color w:val="auto"/>
          <w:sz w:val="30"/>
          <w:szCs w:val="20"/>
          <w:highlight w:val="none"/>
        </w:rPr>
        <w:outlineLvl w:val="1"/>
      </w:pPr>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t xml:space="preserve">1 </w:t>
      </w:r>
      <w:r>
        <w:rPr>
          <w:rFonts w:ascii="宋体" w:hAnsi="宋体"/>
          <w:b/>
          <w:color w:val="auto"/>
          <w:sz w:val="24"/>
          <w:highlight w:val="none"/>
        </w:rPr>
        <w:t xml:space="preserve">满足《中华人民共和国政府采购法》第二十二条规定及法律法规的其他规定</w:t>
      </w:r>
      <w:r/>
    </w:p>
    <w:p>
      <w:pPr>
        <w:pStyle w:val="1051"/>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w:t>
      </w:r>
      <w:r>
        <w:rPr>
          <w:rFonts w:hAnsi="宋体"/>
          <w:color w:val="auto"/>
          <w:highlight w:val="none"/>
          <w:u w:val="none"/>
        </w:rPr>
        <w:t xml:space="preserve">投标人资格声明</w:t>
      </w:r>
      <w:r>
        <w:rPr>
          <w:rFonts w:hint="eastAsia" w:hAnsi="宋体"/>
          <w:color w:val="auto"/>
          <w:highlight w:val="none"/>
          <w:u w:val="none"/>
        </w:rPr>
        <w:t xml:space="preserve">函</w:t>
      </w:r>
      <w:r>
        <w:rPr>
          <w:rFonts w:hAnsi="宋体"/>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致：常州市城投建设工程招标有限公司</w:t>
      </w:r>
      <w:r/>
    </w:p>
    <w:p>
      <w:pPr>
        <w:pStyle w:val="1050"/>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0"/>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0"/>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0"/>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0"/>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0"/>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50"/>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0"/>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0"/>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0"/>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0"/>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0"/>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0"/>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0"/>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Ansi="宋体"/>
          <w:color w:val="auto"/>
          <w:highlight w:val="none"/>
        </w:rPr>
      </w:r>
      <w:r/>
    </w:p>
    <w:p>
      <w:pPr>
        <w:pStyle w:val="1050"/>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0"/>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0"/>
        <w:ind w:firstLine="49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供应商承诺不实的，依据《政府采购法》第七十七条“提供虚假材料谋取中标、成交的”有关规定予以处理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 落实政府采购政策需满足的资格要求（如有）</w:t>
      </w:r>
      <w:r/>
    </w:p>
    <w:p>
      <w:pPr>
        <w:spacing w:line="360" w:lineRule="auto"/>
        <w:rPr>
          <w:rFonts w:ascii="宋体" w:hAnsi="宋体"/>
          <w:b/>
          <w:color w:val="auto"/>
          <w:sz w:val="24"/>
          <w:szCs w:val="20"/>
          <w:highlight w:val="none"/>
        </w:rPr>
        <w:outlineLvl w:val="2"/>
      </w:pPr>
      <w:r>
        <w:rPr>
          <w:rFonts w:ascii="宋体" w:hAnsi="宋体"/>
          <w:b/>
          <w:color w:val="auto"/>
          <w:sz w:val="24"/>
          <w:szCs w:val="20"/>
          <w:highlight w:val="none"/>
        </w:rPr>
        <w:t xml:space="preserve">2-1</w:t>
      </w:r>
      <w:r>
        <w:rPr>
          <w:rFonts w:hint="eastAsia" w:ascii="宋体" w:hAnsi="宋体"/>
          <w:b/>
          <w:color w:val="auto"/>
          <w:sz w:val="24"/>
          <w:szCs w:val="20"/>
          <w:highlight w:val="none"/>
        </w:rPr>
        <w:t xml:space="preserve"> </w:t>
      </w:r>
      <w:r>
        <w:rPr>
          <w:rFonts w:ascii="宋体" w:hAnsi="宋体"/>
          <w:b/>
          <w:color w:val="auto"/>
          <w:sz w:val="24"/>
          <w:highlight w:val="none"/>
        </w:rPr>
        <w:t xml:space="preserve">其它落实政府采购政策的资格要求</w:t>
      </w:r>
      <w:r>
        <w:rPr>
          <w:rFonts w:ascii="宋体" w:hAnsi="宋体"/>
          <w:b/>
          <w:color w:val="auto"/>
          <w:sz w:val="24"/>
          <w:szCs w:val="20"/>
          <w:highlight w:val="none"/>
        </w:rPr>
        <w:t xml:space="preserve">（如有）</w:t>
      </w:r>
      <w:r/>
    </w:p>
    <w:p>
      <w:pPr>
        <w:jc w:val="left"/>
        <w:widowControl/>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b/>
          <w:color w:val="auto"/>
          <w:sz w:val="24"/>
          <w:highlight w:val="none"/>
        </w:rPr>
        <w:outlineLvl w:val="2"/>
      </w:pPr>
      <w:r>
        <w:rPr>
          <w:rFonts w:ascii="宋体" w:hAnsi="宋体"/>
          <w:b/>
          <w:color w:val="auto"/>
          <w:sz w:val="24"/>
          <w:szCs w:val="20"/>
          <w:highlight w:val="none"/>
        </w:rPr>
        <w:t xml:space="preserve">3 本项目的特定资格要求（如有）</w:t>
      </w:r>
      <w:r/>
    </w:p>
    <w:p>
      <w:pPr>
        <w:spacing w:line="360" w:lineRule="auto"/>
        <w:rPr>
          <w:rFonts w:hint="eastAsia" w:ascii="宋体" w:hAnsi="宋体"/>
          <w:b/>
          <w:color w:val="auto"/>
          <w:sz w:val="24"/>
          <w:szCs w:val="20"/>
          <w:highlight w:val="none"/>
        </w:rPr>
        <w:outlineLvl w:val="2"/>
      </w:pPr>
      <w:r>
        <w:rPr>
          <w:rFonts w:ascii="宋体" w:hAnsi="宋体"/>
          <w:b/>
          <w:color w:val="auto"/>
          <w:sz w:val="24"/>
          <w:szCs w:val="20"/>
          <w:highlight w:val="none"/>
        </w:rPr>
        <w:t xml:space="preserve">3-1 其他特定资格要求</w:t>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ind w:left="719" w:hanging="240"/>
        <w:spacing w:line="360" w:lineRule="auto"/>
        <w:rPr>
          <w:rFonts w:hint="eastAsia" w:ascii="宋体" w:hAnsi="宋体"/>
          <w:color w:val="auto"/>
          <w:sz w:val="24"/>
          <w:szCs w:val="20"/>
          <w:highlight w:val="none"/>
        </w:rPr>
      </w:pPr>
      <w:r>
        <w:rPr>
          <w:rFonts w:hint="eastAsia" w:ascii="宋体" w:hAnsi="宋体"/>
          <w:color w:val="auto"/>
          <w:sz w:val="24"/>
          <w:szCs w:val="20"/>
          <w:highlight w:val="none"/>
        </w:rPr>
      </w:r>
      <w:r/>
    </w:p>
    <w:p>
      <w:pPr>
        <w:jc w:val="left"/>
        <w:keepLines/>
        <w:keepNext/>
        <w:spacing w:before="120" w:line="300" w:lineRule="auto"/>
        <w:rPr>
          <w:rFonts w:hint="eastAsia" w:ascii="宋体" w:hAnsi="宋体"/>
          <w:b/>
          <w:color w:val="auto"/>
          <w:sz w:val="32"/>
          <w:szCs w:val="32"/>
          <w:highlight w:val="none"/>
        </w:rPr>
        <w:outlineLvl w:val="1"/>
      </w:pPr>
      <w:r>
        <w:rPr>
          <w:rFonts w:ascii="宋体" w:hAnsi="宋体"/>
          <w:b/>
          <w:color w:val="auto"/>
          <w:spacing w:val="20"/>
          <w:sz w:val="24"/>
          <w:highlight w:val="none"/>
        </w:rPr>
        <w:t xml:space="preserve">二、商务技术文件格式</w:t>
      </w:r>
      <w:bookmarkStart w:id="817" w:name="_Toc226965746"/>
      <w:r/>
      <w:bookmarkStart w:id="818" w:name="_Toc127151556"/>
      <w:r/>
      <w:bookmarkStart w:id="819" w:name="_Toc142311058"/>
      <w:r/>
      <w:bookmarkStart w:id="820" w:name="_Toc520356217"/>
      <w:r/>
      <w:bookmarkStart w:id="821" w:name="_Toc226337252"/>
      <w:r/>
      <w:bookmarkStart w:id="822" w:name="_Toc226309800"/>
      <w:r/>
      <w:bookmarkStart w:id="823" w:name="_Toc480942349"/>
      <w:r/>
      <w:bookmarkStart w:id="824" w:name="_Toc195842921"/>
      <w:r/>
      <w:bookmarkStart w:id="825" w:name="_Toc226965829"/>
      <w:r/>
      <w:bookmarkStart w:id="826" w:name="_Toc150774761"/>
      <w:r/>
      <w:bookmarkStart w:id="827" w:name="_Toc150480794"/>
      <w:r/>
      <w:bookmarkStart w:id="828" w:name="_Ref467988698"/>
      <w:r/>
      <w:r/>
    </w:p>
    <w:p>
      <w:pPr>
        <w:jc w:val="center"/>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w:t>
      </w:r>
      <w:r>
        <w:rPr>
          <w:rFonts w:ascii="宋体" w:hAnsi="宋体"/>
          <w:b/>
          <w:color w:val="auto"/>
          <w:sz w:val="24"/>
          <w:szCs w:val="20"/>
          <w:highlight w:val="none"/>
        </w:rPr>
        <w:t xml:space="preserve">  </w:t>
      </w:r>
      <w:r>
        <w:rPr>
          <w:rFonts w:ascii="宋体" w:hAnsi="宋体"/>
          <w:b/>
          <w:color w:val="auto"/>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color w:val="auto"/>
          <w:sz w:val="24"/>
          <w:highlight w:val="none"/>
        </w:rPr>
        <w:t xml:space="preserve">函</w:t>
      </w:r>
      <w:r>
        <w:rPr>
          <w:rFonts w:ascii="宋体" w:hAnsi="宋体"/>
          <w:b/>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 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hint="eastAsia" w:ascii="宋体" w:hAnsi="宋体"/>
          <w:b/>
          <w:color w:val="auto"/>
          <w:sz w:val="24"/>
          <w:highlight w:val="none"/>
        </w:rPr>
      </w:pPr>
      <w:r/>
      <w:bookmarkStart w:id="829" w:name="_Hlt520356243"/>
      <w:r/>
      <w:bookmarkEnd w:id="829"/>
      <w:r/>
      <w:bookmarkStart w:id="830" w:name="_Hlt520355938"/>
      <w:r/>
      <w:bookmarkEnd w:id="830"/>
      <w:r>
        <w:rPr>
          <w:rFonts w:ascii="宋体" w:hAnsi="宋体"/>
          <w:color w:val="auto"/>
          <w:sz w:val="24"/>
          <w:highlight w:val="none"/>
        </w:rPr>
        <w:br w:type="page" w:clear="all"/>
      </w:r>
      <w:r/>
    </w:p>
    <w:p>
      <w:pPr>
        <w:spacing w:line="360" w:lineRule="auto"/>
        <w:rPr>
          <w:rFonts w:hint="eastAsia" w:ascii="宋体" w:hAnsi="宋体"/>
          <w:b/>
          <w:color w:val="auto"/>
          <w:sz w:val="24"/>
          <w:highlight w:val="none"/>
        </w:rPr>
        <w:outlineLvl w:val="2"/>
      </w:pPr>
      <w:r>
        <w:rPr>
          <w:rFonts w:hint="eastAsia" w:ascii="宋体" w:hAnsi="宋体"/>
          <w:b/>
          <w:color w:val="auto"/>
          <w:sz w:val="24"/>
          <w:highlight w:val="none"/>
        </w:rPr>
        <w:t xml:space="preserve">2</w:t>
      </w:r>
      <w:r>
        <w:rPr>
          <w:rFonts w:ascii="宋体" w:hAnsi="宋体"/>
          <w:b/>
          <w:color w:val="auto"/>
          <w:sz w:val="24"/>
          <w:highlight w:val="none"/>
        </w:rPr>
        <w:t xml:space="preserve">  </w:t>
      </w:r>
      <w:r>
        <w:rPr>
          <w:rFonts w:hint="eastAsia" w:ascii="宋体" w:hAnsi="宋体"/>
          <w:b/>
          <w:color w:val="auto"/>
          <w:sz w:val="24"/>
          <w:highlight w:val="none"/>
        </w:rPr>
        <w:t xml:space="preserve">法定代表人资格证明书</w:t>
      </w:r>
      <w:r>
        <w:rPr>
          <w:rFonts w:ascii="宋体" w:hAnsi="宋体"/>
          <w:b/>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78"/>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3</w:t>
      </w:r>
      <w:r>
        <w:rPr>
          <w:rFonts w:ascii="宋体" w:hAnsi="宋体"/>
          <w:b/>
          <w:color w:val="auto"/>
          <w:sz w:val="24"/>
          <w:highlight w:val="none"/>
        </w:rPr>
        <w:t xml:space="preserve">  </w:t>
      </w:r>
      <w:r>
        <w:rPr>
          <w:rFonts w:hint="eastAsia" w:ascii="宋体" w:hAnsi="宋体"/>
          <w:b/>
          <w:color w:val="auto"/>
          <w:sz w:val="24"/>
          <w:highlight w:val="none"/>
        </w:rPr>
        <w:t xml:space="preserve">授权委托书（实质性格式）</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299"/>
        <w:jc w:val="center"/>
        <w:spacing w:line="480" w:lineRule="auto"/>
        <w:rPr>
          <w:rFonts w:cs="宋体"/>
          <w:color w:val="auto"/>
          <w:sz w:val="24"/>
          <w:highlight w:val="none"/>
        </w:rPr>
      </w:pPr>
      <w:r>
        <w:rPr>
          <w:rFonts w:hint="eastAsia"/>
          <w:b/>
          <w:color w:val="auto"/>
          <w:sz w:val="36"/>
          <w:szCs w:val="36"/>
          <w:highlight w:val="none"/>
        </w:rPr>
        <w:t xml:space="preserve">授权委托书</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本授权书于__________年_______月________日签字或盖章生效，特此声明。</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投标人公章：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rFonts w:hint="eastAsia" w:ascii="宋体" w:hAnsi="宋体" w:cs="宋体"/>
          <w:color w:val="auto"/>
          <w:sz w:val="24"/>
          <w:highlight w:val="none"/>
        </w:rPr>
        <w:t xml:space="preserve">                     联系电话：</w:t>
      </w:r>
      <w:r/>
    </w:p>
    <w:p>
      <w:pPr>
        <w:pStyle w:val="1225"/>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1078"/>
        <w:ind w:right="-46"/>
        <w:spacing w:line="583" w:lineRule="auto"/>
        <w:rPr>
          <w:b/>
          <w:bCs/>
          <w:color w:val="auto"/>
          <w:spacing w:val="-3"/>
          <w:highlight w:val="none"/>
        </w:rPr>
      </w:pPr>
      <w:r>
        <w:rPr>
          <w:b/>
          <w:bCs/>
          <w:color w:val="auto"/>
          <w:highlight w:val="none"/>
        </w:rPr>
        <w:t xml:space="preserve">附：</w:t>
      </w:r>
      <w:r>
        <w:rPr>
          <w:rFonts w:hint="eastAsia" w:cs="宋体"/>
          <w:b/>
          <w:bCs/>
          <w:color w:val="auto"/>
          <w:highlight w:val="none"/>
        </w:rPr>
        <w:t xml:space="preserve">委托代理人（被授权人）</w:t>
      </w:r>
      <w:r>
        <w:rPr>
          <w:b/>
          <w:bCs/>
          <w:color w:val="auto"/>
          <w:spacing w:val="-3"/>
          <w:highlight w:val="none"/>
        </w:rPr>
        <w:t xml:space="preserve">有效期内的身</w:t>
      </w:r>
      <w:r>
        <w:rPr>
          <w:rFonts w:hint="eastAsia"/>
          <w:b/>
          <w:bCs/>
          <w:color w:val="auto"/>
          <w:spacing w:val="-3"/>
          <w:highlight w:val="none"/>
        </w:rPr>
        <w:t xml:space="preserve">份</w:t>
      </w:r>
      <w:r>
        <w:rPr>
          <w:b/>
          <w:bCs/>
          <w:color w:val="auto"/>
          <w:spacing w:val="-3"/>
          <w:highlight w:val="none"/>
        </w:rPr>
        <w:t xml:space="preserve">证正反面</w:t>
      </w:r>
      <w:r>
        <w:rPr>
          <w:rFonts w:hint="eastAsia"/>
          <w:b/>
          <w:bCs/>
          <w:color w:val="auto"/>
          <w:spacing w:val="-3"/>
          <w:highlight w:val="none"/>
        </w:rPr>
        <w:t xml:space="preserve">。</w:t>
      </w:r>
      <w:r/>
    </w:p>
    <w:tbl>
      <w:tblPr>
        <w:tblStyle w:val="8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p>
            <w:pPr>
              <w:jc w:val="left"/>
              <w:spacing w:line="360" w:lineRule="auto"/>
              <w:tabs>
                <w:tab w:val="left" w:pos="5580" w:leader="none"/>
              </w:tabs>
              <w:rPr>
                <w:rFonts w:ascii="宋体" w:hAnsi="宋体"/>
                <w:color w:val="auto"/>
                <w:szCs w:val="21"/>
                <w:highlight w:val="none"/>
              </w:rPr>
            </w:pPr>
            <w:r>
              <w:rPr>
                <w:rFonts w:ascii="宋体" w:hAnsi="宋体"/>
                <w:color w:val="auto"/>
                <w:szCs w:val="21"/>
                <w:highlight w:val="none"/>
              </w:rPr>
            </w:r>
            <w:r/>
          </w:p>
        </w:tc>
      </w:tr>
    </w:tbl>
    <w:p>
      <w:pPr>
        <w:pStyle w:val="1078"/>
        <w:ind w:right="-46"/>
        <w:spacing w:line="583" w:lineRule="auto"/>
        <w:rPr>
          <w:rFonts w:hint="eastAsia"/>
          <w:b/>
          <w:bCs/>
          <w:color w:val="auto"/>
          <w:highlight w:val="none"/>
        </w:rPr>
      </w:pPr>
      <w:r>
        <w:rPr>
          <w:rFonts w:hint="eastAsia"/>
          <w:b/>
          <w:bCs/>
          <w:color w:val="auto"/>
          <w:highlight w:val="none"/>
        </w:rPr>
        <w:t xml:space="preserve">投标人近三个月内任意一个月（自开标之日往前推）为其缴纳社保的记录</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1.法定代表人参加投标时，不需要提供本授权委托书，需投标本人身份证。</w:t>
      </w:r>
      <w:r/>
    </w:p>
    <w:p>
      <w:pPr>
        <w:pStyle w:val="1299"/>
        <w:spacing w:line="360" w:lineRule="exact"/>
        <w:rPr>
          <w:rFonts w:cs="宋体"/>
          <w:color w:val="auto"/>
          <w:sz w:val="21"/>
          <w:szCs w:val="21"/>
          <w:highlight w:val="none"/>
        </w:rPr>
      </w:pPr>
      <w:r>
        <w:rPr>
          <w:rFonts w:hint="eastAsia" w:cs="宋体"/>
          <w:color w:val="auto"/>
          <w:sz w:val="21"/>
          <w:szCs w:val="21"/>
          <w:highlight w:val="none"/>
        </w:rPr>
        <w:t xml:space="preserve">2.投标人为自然人的情形，可不提供本《授权委托书》。</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
          <w:color w:val="auto"/>
          <w:sz w:val="24"/>
          <w:highlight w:val="none"/>
        </w:rPr>
        <w:outlineLvl w:val="2"/>
      </w:pPr>
      <w:r>
        <w:rPr>
          <w:rFonts w:ascii="宋体" w:hAnsi="宋体"/>
          <w:b/>
          <w:color w:val="auto"/>
          <w:sz w:val="24"/>
          <w:highlight w:val="none"/>
        </w:rPr>
        <w:br w:type="page" w:clear="all"/>
      </w:r>
      <w:r>
        <w:rPr>
          <w:rFonts w:hint="eastAsia" w:ascii="宋体" w:hAnsi="宋体"/>
          <w:b/>
          <w:color w:val="auto"/>
          <w:sz w:val="24"/>
          <w:highlight w:val="none"/>
        </w:rPr>
        <w:t xml:space="preserve">4  政府采购供应商信用承诺书</w:t>
      </w:r>
      <w:r>
        <w:rPr>
          <w:rFonts w:ascii="宋体" w:hAnsi="宋体"/>
          <w:b/>
          <w:color w:val="auto"/>
          <w:sz w:val="24"/>
          <w:highlight w:val="none"/>
        </w:rPr>
        <w:t xml:space="preserve">（实质性格式）</w:t>
      </w:r>
      <w:r/>
    </w:p>
    <w:p>
      <w:pPr>
        <w:ind w:firstLine="321"/>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321"/>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政府采购供应商信用承诺书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4"/>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31" w:name="_Hlt520274393"/>
      <w:r/>
      <w:bookmarkEnd w:id="831"/>
      <w:r/>
      <w:bookmarkStart w:id="832" w:name="_Hlt520274407"/>
      <w:r/>
      <w:bookmarkEnd w:id="832"/>
      <w:r/>
      <w:bookmarkStart w:id="833" w:name="_Hlt520274065"/>
      <w:r/>
      <w:bookmarkEnd w:id="833"/>
      <w:r/>
      <w:bookmarkStart w:id="834" w:name="_Hlt520273711"/>
      <w:r/>
      <w:bookmarkEnd w:id="834"/>
      <w:r/>
      <w:bookmarkStart w:id="835" w:name="_Hlt520274121"/>
      <w:r/>
      <w:bookmarkEnd w:id="835"/>
      <w:r/>
      <w:bookmarkStart w:id="836" w:name="_Hlt520343000"/>
      <w:r/>
      <w:bookmarkEnd w:id="836"/>
      <w:r/>
      <w:bookmarkStart w:id="837" w:name="_Hlt520350918"/>
      <w:r/>
      <w:bookmarkEnd w:id="837"/>
      <w:r/>
      <w:bookmarkStart w:id="838" w:name="_Hlt520355504"/>
      <w:r/>
      <w:bookmarkEnd w:id="838"/>
      <w:r/>
      <w:bookmarkStart w:id="839" w:name="_Hlt520271212"/>
      <w:r/>
      <w:bookmarkEnd w:id="839"/>
      <w:r/>
      <w:bookmarkStart w:id="840" w:name="_Hlt520343392"/>
      <w:r/>
      <w:bookmarkEnd w:id="840"/>
      <w:r/>
      <w:bookmarkStart w:id="841" w:name="_Ref467988705"/>
      <w:r/>
      <w:bookmarkStart w:id="842" w:name="_Toc226965830"/>
      <w:r/>
      <w:bookmarkStart w:id="843" w:name="_Toc520356218"/>
      <w:r/>
      <w:bookmarkStart w:id="844" w:name="_Toc305158899"/>
      <w:r/>
      <w:bookmarkStart w:id="845" w:name="_Toc264969247"/>
      <w:r/>
      <w:bookmarkStart w:id="846" w:name="_Toc150774762"/>
      <w:r/>
      <w:bookmarkStart w:id="847" w:name="_Toc305158825"/>
      <w:r/>
      <w:bookmarkStart w:id="848" w:name="_Toc142311059"/>
      <w:r/>
      <w:bookmarkStart w:id="849" w:name="_Toc226337253"/>
      <w:r/>
      <w:bookmarkStart w:id="850" w:name="_Toc195842922"/>
      <w:r/>
      <w:bookmarkStart w:id="851" w:name="_Toc127151557"/>
      <w:r/>
      <w:bookmarkStart w:id="852" w:name="_Toc226309801"/>
      <w:r/>
      <w:bookmarkStart w:id="853" w:name="_Toc480942350"/>
      <w:r/>
      <w:bookmarkStart w:id="854" w:name="_Toc226965747"/>
      <w:r/>
      <w:bookmarkStart w:id="855" w:name="_Toc265228395"/>
      <w:r/>
      <w:bookmarkStart w:id="856" w:name="_Toc150480795"/>
      <w:r>
        <w:rPr>
          <w:rFonts w:ascii="宋体" w:hAnsi="宋体"/>
          <w:color w:val="auto"/>
          <w:sz w:val="24"/>
          <w:szCs w:val="20"/>
          <w:highlight w:val="none"/>
        </w:rPr>
        <w:br w:type="page" w:clear="all"/>
      </w:r>
      <w:r>
        <w:rPr>
          <w:rFonts w:hint="eastAsia" w:ascii="宋体" w:hAnsi="宋体"/>
          <w:b/>
          <w:color w:val="auto"/>
          <w:sz w:val="24"/>
          <w:highlight w:val="none"/>
        </w:rPr>
        <w:t xml:space="preserve">5</w:t>
      </w:r>
      <w:r>
        <w:rPr>
          <w:rFonts w:ascii="宋体" w:hAnsi="宋体"/>
          <w:b/>
          <w:color w:val="auto"/>
          <w:sz w:val="24"/>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color w:val="auto"/>
          <w:sz w:val="24"/>
          <w:highlight w:val="none"/>
        </w:rPr>
        <w:t xml:space="preserve">（实质性格式）</w:t>
      </w:r>
      <w:r/>
    </w:p>
    <w:p>
      <w:pPr>
        <w:jc w:val="center"/>
        <w:spacing w:line="360" w:lineRule="exact"/>
        <w:rPr>
          <w:rFonts w:ascii="宋体" w:hAnsi="宋体"/>
          <w:b/>
          <w:color w:val="auto"/>
          <w:sz w:val="36"/>
          <w:szCs w:val="36"/>
          <w:highlight w:val="none"/>
        </w:rPr>
      </w:pPr>
      <w:r/>
      <w:bookmarkStart w:id="857" w:name="_Toc264969248"/>
      <w:r/>
      <w:bookmarkStart w:id="858" w:name="_Toc226965748"/>
      <w:r/>
      <w:bookmarkStart w:id="859" w:name="_Toc226965831"/>
      <w:r/>
      <w:bookmarkStart w:id="860" w:name="_Toc164608827"/>
      <w:r/>
      <w:bookmarkStart w:id="861" w:name="_Toc226337254"/>
      <w:r/>
      <w:bookmarkStart w:id="862" w:name="_Toc305158900"/>
      <w:r/>
      <w:bookmarkStart w:id="863" w:name="_Toc164608672"/>
      <w:r/>
      <w:bookmarkStart w:id="864" w:name="_Toc195842923"/>
      <w:r/>
      <w:bookmarkStart w:id="865" w:name="_Toc265228396"/>
      <w:r/>
      <w:bookmarkStart w:id="866" w:name="_Toc226309802"/>
      <w:r/>
      <w:bookmarkStart w:id="867" w:name="_Toc305158826"/>
      <w:r>
        <w:rPr>
          <w:rFonts w:hint="eastAsia" w:ascii="宋体" w:hAnsi="宋体"/>
          <w:b/>
          <w:color w:val="auto"/>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877"/>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jc w:val="center"/>
          <w:trHeight w:val="531"/>
        </w:trPr>
        <w:tc>
          <w:tcPr>
            <w:tcW w:w="412" w:type="pct"/>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序号</w:t>
            </w:r>
            <w:r/>
          </w:p>
        </w:tc>
        <w:tc>
          <w:tcPr>
            <w:tcW w:w="2215" w:type="pct"/>
            <w:vAlign w:val="center"/>
            <w:vMerge w:val="restart"/>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投标人名称</w:t>
            </w:r>
            <w:r/>
          </w:p>
        </w:tc>
        <w:tc>
          <w:tcPr>
            <w:gridSpan w:val="2"/>
            <w:tcW w:w="2373"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投标报价</w:t>
            </w:r>
            <w:r/>
          </w:p>
        </w:tc>
      </w:tr>
      <w:tr>
        <w:trPr>
          <w:cantSplit/>
          <w:jc w:val="center"/>
          <w:trHeight w:val="674"/>
        </w:trPr>
        <w:tc>
          <w:tcPr>
            <w:tcW w:w="412" w:type="pct"/>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pct"/>
            <w:vAlign w:val="center"/>
            <w:vMerge w:val="continue"/>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大写</w:t>
            </w:r>
            <w:r/>
          </w:p>
        </w:tc>
        <w:tc>
          <w:tcPr>
            <w:tcW w:w="1182" w:type="pct"/>
            <w:vAlign w:val="center"/>
            <w:textDirection w:val="lrTb"/>
            <w:noWrap w:val="false"/>
          </w:tcPr>
          <w:p>
            <w:pPr>
              <w:jc w:val="center"/>
              <w:tabs>
                <w:tab w:val="left" w:pos="5580" w:leader="none"/>
              </w:tabs>
              <w:rPr>
                <w:rFonts w:ascii="宋体" w:hAnsi="宋体"/>
                <w:b/>
                <w:color w:val="auto"/>
                <w:sz w:val="24"/>
                <w:highlight w:val="none"/>
              </w:rPr>
            </w:pPr>
            <w:r>
              <w:rPr>
                <w:rFonts w:ascii="宋体" w:hAnsi="宋体"/>
                <w:b/>
                <w:color w:val="auto"/>
                <w:sz w:val="24"/>
                <w:highlight w:val="none"/>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2215"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8"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c>
          <w:tcPr>
            <w:tcW w:w="1182" w:type="pct"/>
            <w:vAlign w:val="center"/>
            <w:textDirection w:val="lrTb"/>
            <w:noWrap w:val="false"/>
          </w:tcPr>
          <w:p>
            <w:pPr>
              <w:jc w:val="center"/>
              <w:tabs>
                <w:tab w:val="left" w:pos="5580" w:leader="none"/>
              </w:tabs>
              <w:rPr>
                <w:rFonts w:ascii="宋体" w:hAnsi="宋体"/>
                <w:color w:val="auto"/>
                <w:sz w:val="24"/>
                <w:highlight w:val="none"/>
              </w:rPr>
            </w:pPr>
            <w:r>
              <w:rPr>
                <w:rFonts w:ascii="宋体" w:hAnsi="宋体"/>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bookmarkStart w:id="868" w:name="_Toc127151558"/>
      <w:r/>
      <w:bookmarkStart w:id="869" w:name="_Toc142311060"/>
      <w:r/>
      <w:bookmarkStart w:id="870" w:name="_Toc150480796"/>
      <w:r/>
      <w:bookmarkStart w:id="871" w:name="_Toc226965832"/>
      <w:r/>
      <w:bookmarkStart w:id="872" w:name="_Toc195842924"/>
      <w:r/>
      <w:bookmarkStart w:id="873" w:name="_Toc226337255"/>
      <w:r/>
      <w:bookmarkStart w:id="874" w:name="_Toc305158901"/>
      <w:r/>
      <w:bookmarkStart w:id="875" w:name="_Toc305158827"/>
      <w:r/>
      <w:bookmarkStart w:id="876" w:name="_Toc226309803"/>
      <w:r/>
      <w:bookmarkStart w:id="877" w:name="_Toc265228397"/>
      <w:r/>
      <w:bookmarkStart w:id="878" w:name="_Toc150774763"/>
      <w:r/>
      <w:bookmarkStart w:id="879" w:name="_Toc264969249"/>
      <w:r/>
      <w:bookmarkStart w:id="880" w:name="_Toc226965749"/>
      <w:r>
        <w:rPr>
          <w:rFonts w:ascii="宋体" w:hAnsi="宋体"/>
          <w:color w:val="auto"/>
          <w:sz w:val="24"/>
          <w:szCs w:val="20"/>
          <w:highlight w:val="none"/>
        </w:rPr>
        <w:br w:type="page" w:clear="all"/>
      </w:r>
      <w:r>
        <w:rPr>
          <w:rFonts w:hint="eastAsia" w:ascii="宋体" w:hAnsi="宋体"/>
          <w:b/>
          <w:color w:val="auto"/>
          <w:sz w:val="24"/>
          <w:highlight w:val="none"/>
        </w:rPr>
        <w:t xml:space="preserve">6</w:t>
      </w:r>
      <w:r>
        <w:rPr>
          <w:rFonts w:ascii="宋体" w:hAnsi="宋体"/>
          <w:b/>
          <w:color w:val="auto"/>
          <w:sz w:val="24"/>
          <w:highlight w:val="none"/>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auto"/>
          <w:sz w:val="24"/>
          <w:highlight w:val="none"/>
        </w:rPr>
        <w:t xml:space="preserve">（实质性格式）</w:t>
      </w:r>
      <w:r/>
    </w:p>
    <w:p>
      <w:pPr>
        <w:jc w:val="center"/>
        <w:spacing w:line="360" w:lineRule="exact"/>
        <w:rPr>
          <w:rFonts w:ascii="宋体" w:hAnsi="宋体"/>
          <w:color w:val="auto"/>
          <w:sz w:val="36"/>
          <w:szCs w:val="36"/>
          <w:highlight w:val="none"/>
        </w:rPr>
      </w:pPr>
      <w:r>
        <w:rPr>
          <w:rFonts w:ascii="宋体" w:hAnsi="宋体"/>
          <w:color w:val="auto"/>
          <w:sz w:val="36"/>
          <w:szCs w:val="36"/>
          <w:highlight w:val="none"/>
        </w:rPr>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投标分项报价表</w:t>
      </w:r>
      <w:r/>
    </w:p>
    <w:p>
      <w:pPr>
        <w:jc w:val="center"/>
        <w:spacing w:line="260" w:lineRule="exact"/>
        <w:rPr>
          <w:rFonts w:ascii="宋体" w:hAnsi="宋体"/>
          <w:color w:val="auto"/>
          <w:sz w:val="36"/>
          <w:szCs w:val="36"/>
          <w:highlight w:val="none"/>
        </w:rPr>
      </w:pPr>
      <w:r>
        <w:rPr>
          <w:rFonts w:ascii="宋体" w:hAnsi="宋体"/>
          <w:color w:val="auto"/>
          <w:sz w:val="36"/>
          <w:szCs w:val="36"/>
          <w:highlight w:val="none"/>
        </w:rPr>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877"/>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品牌商标</w:t>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投标价格</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注：1.本表应按包分别填写。</w:t>
      </w:r>
      <w:r/>
    </w:p>
    <w:p>
      <w:pPr>
        <w:ind w:firstLine="480"/>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上述各项的详细规格</w:t>
      </w:r>
      <w:r>
        <w:rPr>
          <w:rFonts w:hint="eastAsia" w:ascii="宋体" w:hAnsi="宋体"/>
          <w:color w:val="auto"/>
          <w:sz w:val="24"/>
          <w:highlight w:val="none"/>
        </w:rPr>
        <w:t xml:space="preserve">、技术参数如表格中填写不下的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hint="eastAsia" w:ascii="宋体" w:hAnsi="宋体"/>
          <w:b/>
          <w:i/>
          <w:color w:val="auto"/>
          <w:sz w:val="24"/>
          <w:highlight w:val="none"/>
        </w:rPr>
      </w:pPr>
      <w:r>
        <w:rPr>
          <w:rFonts w:hint="eastAsia" w:ascii="宋体" w:hAnsi="宋体"/>
          <w:b/>
          <w:i/>
          <w:color w:val="auto"/>
          <w:sz w:val="24"/>
          <w:highlight w:val="none"/>
        </w:rPr>
      </w:r>
      <w:r/>
    </w:p>
    <w:p>
      <w:pPr>
        <w:jc w:val="left"/>
        <w:spacing w:before="240" w:after="240"/>
        <w:rPr>
          <w:rFonts w:ascii="宋体" w:hAnsi="宋体"/>
          <w:b/>
          <w:color w:val="auto"/>
          <w:sz w:val="24"/>
          <w:szCs w:val="20"/>
          <w:highlight w:val="none"/>
        </w:rPr>
      </w:pPr>
      <w:r>
        <w:rPr>
          <w:rFonts w:ascii="宋体" w:hAnsi="宋体"/>
          <w:b/>
          <w:i/>
          <w:color w:val="auto"/>
          <w:sz w:val="24"/>
          <w:highlight w:val="none"/>
        </w:rPr>
        <w:br w:type="page" w:clear="all"/>
      </w:r>
      <w:bookmarkStart w:id="881" w:name="_Toc127151562"/>
      <w:r/>
      <w:bookmarkStart w:id="882" w:name="_Toc150774765"/>
      <w:r/>
      <w:bookmarkStart w:id="883" w:name="_Toc305158830"/>
      <w:r/>
      <w:bookmarkStart w:id="884" w:name="_Toc226309806"/>
      <w:r/>
      <w:bookmarkStart w:id="885" w:name="_Toc226965752"/>
      <w:r/>
      <w:bookmarkStart w:id="886" w:name="_Toc305158904"/>
      <w:r/>
      <w:bookmarkStart w:id="887" w:name="_Toc226965835"/>
      <w:r/>
      <w:bookmarkStart w:id="888" w:name="_Toc264969252"/>
      <w:r/>
      <w:bookmarkStart w:id="889" w:name="_Toc226337258"/>
      <w:r/>
      <w:bookmarkStart w:id="890" w:name="_Toc195842927"/>
      <w:r/>
      <w:bookmarkStart w:id="891" w:name="_Toc150480798"/>
      <w:r/>
      <w:bookmarkStart w:id="892" w:name="_Toc142311062"/>
      <w:r/>
      <w:bookmarkStart w:id="893" w:name="_Toc265228400"/>
      <w:r/>
      <w:bookmarkStart w:id="894" w:name="_Toc226309805"/>
      <w:r/>
      <w:bookmarkStart w:id="895" w:name="_Toc150774764"/>
      <w:r/>
      <w:bookmarkStart w:id="896" w:name="_Toc226965834"/>
      <w:r/>
      <w:bookmarkStart w:id="897" w:name="_Toc226965751"/>
      <w:r/>
      <w:bookmarkStart w:id="898" w:name="_Toc305158903"/>
      <w:r/>
      <w:bookmarkStart w:id="899" w:name="_Toc226337257"/>
      <w:r/>
      <w:bookmarkStart w:id="900" w:name="_Toc150480797"/>
      <w:r/>
      <w:bookmarkStart w:id="901" w:name="_Toc142311061"/>
      <w:r/>
      <w:bookmarkStart w:id="902" w:name="_Toc265228399"/>
      <w:r/>
      <w:bookmarkStart w:id="903" w:name="_Toc264969251"/>
      <w:r/>
      <w:bookmarkStart w:id="904" w:name="_Toc305158829"/>
      <w:r/>
      <w:bookmarkStart w:id="905" w:name="_Toc127151561"/>
      <w:r/>
      <w:bookmarkStart w:id="906" w:name="_Toc195842926"/>
      <w:r>
        <w:rPr>
          <w:rFonts w:hint="eastAsia" w:ascii="宋体" w:hAnsi="宋体"/>
          <w:b/>
          <w:color w:val="auto"/>
          <w:sz w:val="24"/>
          <w:highlight w:val="none"/>
        </w:rPr>
        <w:t xml:space="preserve">7</w:t>
      </w:r>
      <w:r>
        <w:rPr>
          <w:rFonts w:ascii="宋体" w:hAnsi="宋体"/>
          <w:b/>
          <w:color w:val="auto"/>
          <w:sz w:val="24"/>
          <w:highlight w:val="none"/>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auto"/>
          <w:sz w:val="24"/>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w:t>
      </w:r>
      <w:r/>
    </w:p>
    <w:tbl>
      <w:tblPr>
        <w:tblStyle w:val="8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ascii="宋体" w:hAnsi="宋体"/>
          <w:color w:val="auto"/>
          <w:sz w:val="24"/>
          <w:highlight w:val="none"/>
        </w:rPr>
        <w:t xml:space="preserve">对合同条款中的所有要求，除本表所列明的所有偏离外，均视作供应商已对之理解和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8</w:t>
      </w:r>
      <w:r>
        <w:rPr>
          <w:rFonts w:ascii="宋体" w:hAnsi="宋体"/>
          <w:b/>
          <w:color w:val="auto"/>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auto"/>
          <w:sz w:val="24"/>
          <w:szCs w:val="20"/>
          <w:highlight w:val="none"/>
        </w:rPr>
        <w:t xml:space="preserve">采购需求偏离表（实质性格式）</w:t>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w:t>
      </w:r>
      <w:r/>
    </w:p>
    <w:tbl>
      <w:tblPr>
        <w:tblStyle w:val="87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w:t>
      </w:r>
      <w:r>
        <w:rPr>
          <w:rFonts w:ascii="宋体" w:hAnsi="宋体"/>
          <w:color w:val="auto"/>
          <w:sz w:val="24"/>
          <w:highlight w:val="none"/>
        </w:rPr>
        <w:t xml:space="preserve">对招标文件中的所有商务、技术要求，除本表所列明的所有偏离外，均视作供应商已对之理解和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  中小企业声明函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说明：</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fldChar w:fldCharType="begin"/>
      </w:r>
      <w:r>
        <w:rPr>
          <w:rFonts w:ascii="宋体" w:hAnsi="宋体"/>
          <w:color w:val="auto"/>
          <w:sz w:val="24"/>
          <w:highlight w:val="none"/>
        </w:rPr>
        <w:instrText xml:space="preserve"> HYPERLINK "http://202.106.120.146/baosong/appweb/orgScale.html" </w:instrText>
      </w:r>
      <w:r>
        <w:rPr>
          <w:rFonts w:ascii="宋体" w:hAnsi="宋体"/>
          <w:color w:val="auto"/>
          <w:sz w:val="24"/>
          <w:highlight w:val="none"/>
        </w:rPr>
        <w:fldChar w:fldCharType="separate"/>
      </w:r>
      <w:r>
        <w:rPr>
          <w:rStyle w:val="1122"/>
          <w:rFonts w:ascii="宋体" w:hAnsi="宋体"/>
          <w:color w:val="auto"/>
          <w:sz w:val="24"/>
          <w:highlight w:val="none"/>
        </w:rPr>
        <w:t xml:space="preserve">http://202.106.120.146/baosong/appweb/orgScale.html</w:t>
      </w:r>
      <w:r>
        <w:rPr>
          <w:rFonts w:ascii="宋体" w:hAnsi="宋体"/>
          <w:color w:val="auto"/>
          <w:sz w:val="24"/>
          <w:highlight w:val="none"/>
        </w:rPr>
        <w:fldChar w:fldCharType="end"/>
      </w:r>
      <w:r>
        <w:rPr>
          <w:rFonts w:hint="eastAsia" w:ascii="宋体" w:hAnsi="宋体"/>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rFonts w:ascii="宋体" w:hAnsi="宋体"/>
          <w:b/>
          <w:bCs/>
          <w:color w:val="auto"/>
          <w:sz w:val="36"/>
          <w:szCs w:val="36"/>
          <w:highlight w:val="none"/>
        </w:rPr>
      </w:pPr>
      <w:r>
        <w:rPr>
          <w:rFonts w:ascii="宋体" w:hAnsi="宋体"/>
          <w:b/>
          <w:bCs/>
          <w:color w:val="auto"/>
          <w:sz w:val="24"/>
          <w:highlight w:val="none"/>
        </w:rPr>
        <w:br w:type="page" w:clear="all"/>
      </w:r>
      <w:r/>
    </w:p>
    <w:p>
      <w:pPr>
        <w:jc w:val="left"/>
        <w:widowControl/>
        <w:rPr>
          <w:rFonts w:ascii="宋体" w:hAnsi="宋体"/>
          <w:b/>
          <w:bCs/>
          <w:color w:val="auto"/>
          <w:sz w:val="24"/>
          <w:highlight w:val="none"/>
        </w:rPr>
      </w:pPr>
      <w:r>
        <w:rPr>
          <w:rFonts w:ascii="宋体" w:hAnsi="宋体"/>
          <w:b/>
          <w:bCs/>
          <w:color w:val="auto"/>
          <w:sz w:val="24"/>
          <w:highlight w:val="none"/>
        </w:rPr>
      </w:r>
      <w:r/>
    </w:p>
    <w:p>
      <w:pPr>
        <w:jc w:val="center"/>
        <w:spacing w:before="240" w:after="240" w:line="360" w:lineRule="auto"/>
        <w:rPr>
          <w:rFonts w:ascii="宋体" w:hAnsi="宋体"/>
          <w:b/>
          <w:color w:val="auto"/>
          <w:sz w:val="36"/>
          <w:szCs w:val="36"/>
          <w:highlight w:val="none"/>
        </w:rPr>
      </w:pPr>
      <w:r>
        <w:rPr>
          <w:rFonts w:ascii="宋体" w:hAnsi="宋体"/>
          <w:b/>
          <w:bCs/>
          <w:color w:val="auto"/>
          <w:sz w:val="36"/>
          <w:szCs w:val="36"/>
          <w:highlight w:val="none"/>
        </w:rPr>
        <w:t xml:space="preserve">中小企业声明函（货物）格式</w:t>
      </w:r>
      <w:r/>
    </w:p>
    <w:p>
      <w:pPr>
        <w:ind w:left="220" w:right="415" w:firstLine="640"/>
        <w:jc w:val="left"/>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i/>
          <w:color w:val="auto"/>
          <w:sz w:val="24"/>
          <w:highlight w:val="none"/>
          <w:u w:val="single"/>
        </w:rPr>
        <w:t xml:space="preserve">（单位名称）</w:t>
      </w:r>
      <w:r>
        <w:rPr>
          <w:rFonts w:ascii="宋体" w:hAnsi="宋体"/>
          <w:color w:val="auto"/>
          <w:sz w:val="24"/>
          <w:highlight w:val="none"/>
        </w:rPr>
        <w:t xml:space="preserve">的</w:t>
      </w:r>
      <w:r>
        <w:rPr>
          <w:rFonts w:ascii="宋体" w:hAnsi="宋体"/>
          <w:i/>
          <w:color w:val="auto"/>
          <w:sz w:val="24"/>
          <w:highlight w:val="none"/>
          <w:u w:val="single"/>
        </w:rPr>
        <w:t xml:space="preserve">（项目名称）</w:t>
      </w:r>
      <w:r>
        <w:rPr>
          <w:rFonts w:ascii="宋体" w:hAnsi="宋体"/>
          <w:color w:val="auto"/>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rPr>
        <w:t xml:space="preserve">工业</w:t>
      </w:r>
      <w:r>
        <w:rPr>
          <w:rFonts w:ascii="宋体" w:hAnsi="宋体"/>
          <w:color w:val="auto"/>
          <w:sz w:val="24"/>
          <w:highlight w:val="none"/>
        </w:rPr>
        <w:t xml:space="preserve">行业；制造商为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w:t>
      </w:r>
      <w:r>
        <w:rPr>
          <w:rFonts w:ascii="宋体" w:hAnsi="宋体"/>
          <w:color w:val="auto"/>
          <w:highlight w:val="none"/>
        </w:rPr>
        <w:fldChar w:fldCharType="begin"/>
      </w:r>
      <w:r>
        <w:rPr>
          <w:rFonts w:ascii="宋体" w:hAnsi="宋体"/>
          <w:color w:val="auto"/>
          <w:highlight w:val="none"/>
        </w:rPr>
        <w:instrText xml:space="preserve"> HYPERLINK \l "_bookmark0" </w:instrText>
      </w:r>
      <w:r>
        <w:rPr>
          <w:rFonts w:ascii="宋体" w:hAnsi="宋体"/>
          <w:color w:val="auto"/>
          <w:highlight w:val="none"/>
        </w:rPr>
        <w:fldChar w:fldCharType="separate"/>
      </w:r>
      <w:r>
        <w:rPr>
          <w:rFonts w:ascii="宋体" w:hAnsi="宋体"/>
          <w:color w:val="auto"/>
          <w:position w:val="16"/>
          <w:sz w:val="24"/>
          <w:highlight w:val="none"/>
        </w:rPr>
        <w:t xml:space="preserve">1</w:t>
      </w:r>
      <w:r>
        <w:rPr>
          <w:rFonts w:ascii="宋体" w:hAnsi="宋体"/>
          <w:color w:val="auto"/>
          <w:position w:val="16"/>
          <w:sz w:val="24"/>
          <w:highlight w:val="none"/>
        </w:rPr>
        <w:fldChar w:fldCharType="end"/>
      </w:r>
      <w:r>
        <w:rPr>
          <w:rFonts w:ascii="宋体" w:hAnsi="宋体"/>
          <w:color w:val="auto"/>
          <w:sz w:val="24"/>
          <w:highlight w:val="none"/>
        </w:rPr>
        <w:t xml:space="preserve">，属于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auto"/>
          <w:sz w:val="24"/>
          <w:highlight w:val="none"/>
        </w:rPr>
      </w:pPr>
      <w:r>
        <w:rPr>
          <w:rFonts w:ascii="宋体" w:hAnsi="宋体"/>
          <w:i/>
          <w:color w:val="auto"/>
          <w:sz w:val="24"/>
          <w:highlight w:val="none"/>
          <w:u w:val="single"/>
        </w:rPr>
        <w:t xml:space="preserve">（标的名称）</w:t>
      </w:r>
      <w:r>
        <w:rPr>
          <w:rFonts w:ascii="宋体" w:hAnsi="宋体"/>
          <w:color w:val="auto"/>
          <w:sz w:val="24"/>
          <w:highlight w:val="none"/>
        </w:rPr>
        <w:t xml:space="preserve">，属于</w:t>
      </w:r>
      <w:r>
        <w:rPr>
          <w:rFonts w:hint="eastAsia" w:ascii="宋体" w:hAnsi="宋体"/>
          <w:color w:val="auto"/>
          <w:sz w:val="24"/>
          <w:highlight w:val="none"/>
        </w:rPr>
        <w:t xml:space="preserve">工业</w:t>
      </w:r>
      <w:r>
        <w:rPr>
          <w:rFonts w:ascii="宋体" w:hAnsi="宋体"/>
          <w:color w:val="auto"/>
          <w:sz w:val="24"/>
          <w:highlight w:val="none"/>
        </w:rPr>
        <w:t xml:space="preserve">行业；制造商为</w:t>
      </w:r>
      <w:r>
        <w:rPr>
          <w:rFonts w:ascii="宋体" w:hAnsi="宋体"/>
          <w:i/>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ab/>
      </w:r>
      <w:r>
        <w:rPr>
          <w:rFonts w:ascii="宋体" w:hAnsi="宋体"/>
          <w:color w:val="auto"/>
          <w:sz w:val="24"/>
          <w:highlight w:val="none"/>
        </w:rPr>
        <w:t xml:space="preserve">人，营业收入为</w:t>
      </w:r>
      <w:r>
        <w:rPr>
          <w:rFonts w:ascii="宋体" w:hAnsi="宋体"/>
          <w:color w:val="auto"/>
          <w:sz w:val="24"/>
          <w:highlight w:val="none"/>
          <w:u w:val="single"/>
        </w:rPr>
        <w:tab/>
      </w:r>
      <w:r>
        <w:rPr>
          <w:rFonts w:ascii="宋体" w:hAnsi="宋体"/>
          <w:color w:val="auto"/>
          <w:sz w:val="24"/>
          <w:highlight w:val="none"/>
        </w:rPr>
        <w:t xml:space="preserve">万元，资产总额为</w:t>
      </w:r>
      <w:r>
        <w:rPr>
          <w:rFonts w:ascii="宋体" w:hAnsi="宋体"/>
          <w:color w:val="auto"/>
          <w:sz w:val="24"/>
          <w:highlight w:val="none"/>
          <w:u w:val="single"/>
        </w:rPr>
        <w:tab/>
      </w:r>
      <w:r>
        <w:rPr>
          <w:rFonts w:ascii="宋体" w:hAnsi="宋体"/>
          <w:color w:val="auto"/>
          <w:sz w:val="24"/>
          <w:highlight w:val="none"/>
        </w:rPr>
        <w:t xml:space="preserve">万元，属于</w:t>
      </w:r>
      <w:r>
        <w:rPr>
          <w:rFonts w:ascii="宋体" w:hAnsi="宋体"/>
          <w:i/>
          <w:color w:val="auto"/>
          <w:sz w:val="24"/>
          <w:highlight w:val="none"/>
          <w:u w:val="single"/>
        </w:rPr>
        <w:t xml:space="preserve">（中型企业、小型企业、微型企业）</w:t>
      </w:r>
      <w:r>
        <w:rPr>
          <w:rFonts w:ascii="宋体" w:hAnsi="宋体"/>
          <w:color w:val="auto"/>
          <w:sz w:val="24"/>
          <w:highlight w:val="none"/>
        </w:rPr>
        <w:t xml:space="preserve">；</w:t>
      </w:r>
      <w:r/>
    </w:p>
    <w:p>
      <w:pPr>
        <w:ind w:left="860"/>
        <w:jc w:val="left"/>
        <w:spacing w:line="360" w:lineRule="auto"/>
        <w:rPr>
          <w:rFonts w:ascii="宋体" w:hAnsi="宋体"/>
          <w:color w:val="auto"/>
          <w:sz w:val="24"/>
          <w:highlight w:val="none"/>
        </w:rPr>
      </w:pPr>
      <w:r>
        <w:rPr>
          <w:rFonts w:ascii="宋体" w:hAnsi="宋体"/>
          <w:color w:val="auto"/>
          <w:sz w:val="24"/>
          <w:highlight w:val="none"/>
        </w:rPr>
        <w:t xml:space="preserve">……</w:t>
      </w:r>
      <w:r/>
    </w:p>
    <w:p>
      <w:pPr>
        <w:ind w:left="220" w:right="417" w:firstLine="645"/>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企业名称（加盖公章）：________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t xml:space="preserve">日 期：________</w:t>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p>
      <w:pPr>
        <w:ind w:right="360" w:firstLine="480"/>
        <w:jc w:val="right"/>
        <w:spacing w:line="360" w:lineRule="auto"/>
        <w:rPr>
          <w:rFonts w:ascii="宋体" w:hAnsi="宋体"/>
          <w:color w:val="auto"/>
          <w:sz w:val="24"/>
          <w:highlight w:val="none"/>
        </w:rPr>
      </w:pPr>
      <w:r>
        <w:rPr>
          <w:rFonts w:ascii="宋体" w:hAnsi="宋体"/>
          <w:color w:val="auto"/>
          <w:sz w:val="24"/>
          <w:highlight w:val="none"/>
        </w:rPr>
      </w:r>
      <w:r/>
    </w:p>
    <w:tbl>
      <w:tblPr>
        <w:tblStyle w:val="877"/>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ascii="宋体" w:hAnsi="宋体"/>
                <w:color w:val="auto"/>
                <w:szCs w:val="21"/>
                <w:highlight w:val="none"/>
              </w:rPr>
            </w:pPr>
            <w:r>
              <w:rPr>
                <w:rFonts w:ascii="宋体" w:hAnsi="宋体"/>
                <w:color w:val="auto"/>
                <w:szCs w:val="21"/>
                <w:highlight w:val="none"/>
                <w:vertAlign w:val="superscript"/>
              </w:rPr>
              <w:t xml:space="preserve">1</w:t>
            </w:r>
            <w:r>
              <w:rPr>
                <w:rFonts w:ascii="宋体" w:hAnsi="宋体"/>
                <w:color w:val="auto"/>
                <w:szCs w:val="21"/>
                <w:highlight w:val="none"/>
              </w:rPr>
              <w:t xml:space="preserve">从业人员、营业收入、资产总额填报上一年度数据，无上一年度数据的新成立企业可不填报。</w:t>
            </w:r>
            <w:r/>
          </w:p>
        </w:tc>
      </w:tr>
    </w:tbl>
    <w:p>
      <w:pPr>
        <w:ind w:firstLine="420"/>
        <w:jc w:val="left"/>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spacing w:before="240" w:after="240" w:line="360" w:lineRule="auto"/>
        <w:rPr>
          <w:rFonts w:ascii="宋体" w:hAnsi="宋体"/>
          <w:color w:val="auto"/>
          <w:sz w:val="36"/>
          <w:szCs w:val="36"/>
          <w:highlight w:val="none"/>
        </w:rPr>
      </w:pPr>
      <w:r>
        <w:rPr>
          <w:rFonts w:ascii="宋体" w:hAnsi="宋体"/>
          <w:b/>
          <w:bCs/>
          <w:color w:val="auto"/>
          <w:sz w:val="36"/>
          <w:szCs w:val="36"/>
          <w:highlight w:val="none"/>
        </w:rPr>
        <w:br w:type="page" w:clear="all"/>
      </w:r>
      <w:r>
        <w:rPr>
          <w:rFonts w:ascii="宋体" w:hAnsi="宋体"/>
          <w:b/>
          <w:bCs/>
          <w:color w:val="auto"/>
          <w:sz w:val="36"/>
          <w:szCs w:val="36"/>
          <w:highlight w:val="none"/>
        </w:rPr>
        <w:t xml:space="preserve">残疾人福利性单位声明函格式</w:t>
      </w:r>
      <w:r>
        <w:rPr>
          <w:rFonts w:ascii="宋体" w:hAnsi="宋体"/>
          <w:color w:val="auto"/>
          <w:sz w:val="36"/>
          <w:szCs w:val="36"/>
          <w:highlight w:val="none"/>
        </w:rPr>
        <w:t xml:space="preserve"> </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b/>
          <w:color w:val="auto"/>
          <w:sz w:val="24"/>
          <w:highlight w:val="none"/>
        </w:rPr>
      </w:pPr>
      <w:r>
        <w:rPr>
          <w:rFonts w:ascii="宋体" w:hAnsi="宋体"/>
          <w:color w:val="auto"/>
          <w:spacing w:val="6"/>
          <w:sz w:val="24"/>
          <w:highlight w:val="none"/>
        </w:rPr>
        <w:t xml:space="preserve">       日  期：</w:t>
      </w:r>
      <w:r/>
    </w:p>
    <w:p>
      <w:pPr>
        <w:spacing w:line="360" w:lineRule="auto"/>
        <w:rPr>
          <w:rFonts w:ascii="宋体" w:hAnsi="宋体"/>
          <w:b/>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b/>
          <w:color w:val="auto"/>
          <w:sz w:val="24"/>
          <w:highlight w:val="none"/>
        </w:rPr>
        <w:t xml:space="preserve">10</w:t>
      </w:r>
      <w:r>
        <w:rPr>
          <w:rFonts w:ascii="宋体" w:hAnsi="宋体"/>
          <w:b/>
          <w:color w:val="auto"/>
          <w:sz w:val="24"/>
          <w:highlight w:val="none"/>
        </w:rPr>
        <w:t xml:space="preserve">  </w:t>
      </w:r>
      <w:r>
        <w:rPr>
          <w:rFonts w:hint="eastAsia" w:ascii="宋体" w:hAnsi="宋体"/>
          <w:b/>
          <w:color w:val="auto"/>
          <w:sz w:val="24"/>
          <w:highlight w:val="none"/>
        </w:rPr>
        <w:t xml:space="preserve">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详见评标标准</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r>
      <w:r/>
    </w:p>
    <w:p>
      <w:pPr>
        <w:spacing w:line="360" w:lineRule="auto"/>
        <w:rPr>
          <w:rFonts w:ascii="宋体" w:hAnsi="宋体"/>
          <w:b/>
          <w:color w:val="auto"/>
          <w:sz w:val="24"/>
          <w:highlight w:val="none"/>
        </w:rPr>
        <w:outlineLvl w:val="2"/>
      </w:pPr>
      <w:r>
        <w:rPr>
          <w:rFonts w:hint="eastAsia" w:ascii="宋体" w:hAnsi="宋体"/>
          <w:b/>
          <w:color w:val="auto"/>
          <w:sz w:val="24"/>
          <w:highlight w:val="none"/>
        </w:rPr>
        <w:t xml:space="preserve">11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7"/>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b/>
          <w:color w:val="auto"/>
          <w:sz w:val="24"/>
          <w:szCs w:val="20"/>
          <w:highlight w:val="none"/>
        </w:rPr>
        <w:outlineLvl w:val="2"/>
      </w:pPr>
      <w:r>
        <w:rPr>
          <w:rFonts w:ascii="宋体" w:hAnsi="宋体"/>
          <w:color w:val="auto"/>
          <w:sz w:val="22"/>
          <w:highlight w:val="none"/>
        </w:rPr>
        <w:br w:type="page" w:clear="all"/>
      </w:r>
      <w:bookmarkStart w:id="907" w:name="_Toc288738397"/>
      <w:r/>
      <w:bookmarkStart w:id="908" w:name="_Toc288738839"/>
      <w:r>
        <w:rPr>
          <w:rFonts w:hint="eastAsia" w:ascii="宋体" w:hAnsi="宋体"/>
          <w:b/>
          <w:color w:val="auto"/>
          <w:sz w:val="24"/>
          <w:highlight w:val="none"/>
        </w:rPr>
        <w:t xml:space="preserve">12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07"/>
      <w:r/>
      <w:bookmarkEnd w:id="908"/>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7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投标人名称（加盖公章）</w:t>
      </w:r>
      <w:r>
        <w:rPr>
          <w:rFonts w:ascii="宋体" w:hAnsi="宋体"/>
          <w:color w:val="auto"/>
          <w:sz w:val="24"/>
          <w:highlight w:val="none"/>
          <w:lang w:val="zh-CN"/>
        </w:rPr>
        <w:t xml:space="preserve">：    ____________</w:t>
      </w:r>
      <w:r/>
    </w:p>
    <w:p>
      <w:pPr>
        <w:spacing w:before="25" w:after="25" w:line="360" w:lineRule="auto"/>
        <w:rPr>
          <w:rFonts w:ascii="宋体" w:hAnsi="宋体"/>
          <w:color w:val="auto"/>
          <w:sz w:val="24"/>
          <w:highlight w:val="none"/>
          <w:lang w:val="zh-CN"/>
        </w:rPr>
      </w:pPr>
      <w:r>
        <w:rPr>
          <w:rFonts w:ascii="宋体" w:hAnsi="宋体"/>
          <w:color w:val="auto"/>
          <w:sz w:val="24"/>
          <w:szCs w:val="20"/>
          <w:highlight w:val="none"/>
        </w:rPr>
        <w:t xml:space="preserve">日期：_____年______月______日   </w:t>
      </w:r>
      <w:r/>
    </w:p>
    <w:p>
      <w:pPr>
        <w:spacing w:line="360" w:lineRule="auto"/>
        <w:rPr>
          <w:rFonts w:ascii="宋体" w:hAnsi="宋体"/>
          <w:color w:val="auto"/>
          <w:highlight w:val="none"/>
        </w:rPr>
        <w:outlineLvl w:val="2"/>
      </w:pPr>
      <w:r>
        <w:rPr>
          <w:rFonts w:ascii="宋体" w:hAnsi="宋体"/>
          <w:color w:val="auto"/>
          <w:highlight w:val="none"/>
        </w:rPr>
      </w:r>
      <w:r/>
    </w:p>
    <w:p>
      <w:pPr>
        <w:spacing w:line="360" w:lineRule="auto"/>
        <w:rPr>
          <w:rFonts w:ascii="宋体" w:hAnsi="宋体"/>
          <w:color w:val="auto"/>
          <w:highlight w:val="none"/>
        </w:rPr>
        <w:outlineLvl w:val="2"/>
      </w:pPr>
      <w:r>
        <w:rPr>
          <w:rFonts w:ascii="宋体" w:hAnsi="宋体"/>
          <w:color w:val="auto"/>
          <w:highlight w:val="none"/>
        </w:rPr>
      </w:r>
      <w:r/>
    </w:p>
    <w:p>
      <w:pPr>
        <w:spacing w:line="360" w:lineRule="auto"/>
        <w:rPr>
          <w:rFonts w:ascii="宋体" w:hAnsi="宋体"/>
          <w:b/>
          <w:color w:val="auto"/>
          <w:sz w:val="24"/>
          <w:szCs w:val="20"/>
          <w:highlight w:val="none"/>
        </w:rPr>
        <w:outlineLvl w:val="2"/>
      </w:pPr>
      <w:r>
        <w:rPr>
          <w:rFonts w:hint="eastAsia" w:ascii="宋体" w:hAnsi="宋体"/>
          <w:b/>
          <w:color w:val="auto"/>
          <w:sz w:val="24"/>
          <w:highlight w:val="none"/>
        </w:rPr>
        <w:t xml:space="preserve">13</w:t>
      </w:r>
      <w:r>
        <w:rPr>
          <w:rFonts w:ascii="宋体" w:hAnsi="宋体"/>
          <w:b/>
          <w:color w:val="auto"/>
          <w:sz w:val="24"/>
          <w:highlight w:val="none"/>
        </w:rPr>
        <w:t xml:space="preserve">  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jc w:val="center"/>
        <w:spacing w:line="360" w:lineRule="auto"/>
        <w:rPr>
          <w:rFonts w:hint="eastAsia" w:ascii="宋体" w:hAnsi="宋体" w:cs="黑体"/>
          <w:bCs/>
          <w:color w:val="auto"/>
          <w:sz w:val="24"/>
          <w:highlight w:val="none"/>
        </w:rPr>
      </w:pPr>
      <w:r>
        <w:rPr>
          <w:rFonts w:hint="eastAsia" w:ascii="宋体" w:hAnsi="宋体" w:cs="黑体"/>
          <w:b/>
          <w:color w:val="auto"/>
          <w:sz w:val="28"/>
          <w:szCs w:val="28"/>
          <w:highlight w:val="none"/>
        </w:rPr>
        <w:t xml:space="preserve">本招标文件的最终解释权归常州市城投建设工程招标有限公司所有</w:t>
      </w:r>
      <w:r>
        <w:rPr>
          <w:rFonts w:hint="eastAsia" w:ascii="宋体" w:hAnsi="宋体" w:cs="黑体"/>
          <w:bCs/>
          <w:color w:val="auto"/>
          <w:sz w:val="24"/>
          <w:highlight w:val="none"/>
        </w:rPr>
        <w:t xml:space="preserve">。</w:t>
      </w:r>
      <w:r/>
    </w:p>
    <w:p>
      <w:pPr>
        <w:jc w:val="center"/>
        <w:rPr>
          <w:rFonts w:hint="eastAsia" w:ascii="宋体" w:hAnsi="宋体" w:cs="黑体"/>
          <w:color w:val="auto"/>
          <w:highlight w:val="none"/>
        </w:rPr>
      </w:pPr>
      <w:r>
        <w:rPr>
          <w:rFonts w:hint="eastAsia" w:ascii="宋体" w:hAnsi="宋体" w:cs="黑体"/>
          <w:b/>
          <w:color w:val="auto"/>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right="360"/>
      <w:rPr>
        <w:rStyle w:val="1119"/>
      </w:rPr>
      <w:framePr w:wrap="around" w:vAnchor="text" w:hAnchor="margin" w:y="1"/>
    </w:pPr>
    <w:r/>
    <w:r/>
  </w:p>
  <w:p>
    <w:pPr>
      <w:pStyle w:val="1095"/>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9"/>
      </w:rPr>
      <w:framePr w:wrap="around" w:vAnchor="text" w:hAnchor="margin" w:xAlign="center" w:y="1"/>
    </w:pPr>
    <w:r>
      <w:fldChar w:fldCharType="begin"/>
    </w:r>
    <w:r>
      <w:rPr>
        <w:rStyle w:val="1119"/>
      </w:rPr>
      <w:instrText xml:space="preserve">PAGE  </w:instrText>
    </w:r>
    <w:r>
      <w:fldChar w:fldCharType="end"/>
    </w:r>
    <w:r/>
  </w:p>
  <w:p>
    <w:pPr>
      <w:pStyle w:val="109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9"/>
      </w:rPr>
      <w:framePr w:wrap="around" w:vAnchor="text" w:hAnchor="margin" w:xAlign="right" w:y="1"/>
    </w:pPr>
    <w:r/>
    <w:r/>
  </w:p>
  <w:p>
    <w:pPr>
      <w:pStyle w:val="1095"/>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9"/>
      </w:rPr>
      <w:framePr w:wrap="around" w:vAnchor="text" w:hAnchor="margin" w:xAlign="right" w:y="1"/>
    </w:pPr>
    <w:r>
      <w:rPr>
        <w:rStyle w:val="1119"/>
      </w:rPr>
      <w:fldChar w:fldCharType="begin"/>
    </w:r>
    <w:r>
      <w:rPr>
        <w:rStyle w:val="1119"/>
      </w:rPr>
      <w:instrText xml:space="preserve">PAGE  </w:instrText>
    </w:r>
    <w:r>
      <w:rPr>
        <w:rStyle w:val="1119"/>
      </w:rPr>
      <w:fldChar w:fldCharType="end"/>
    </w:r>
    <w:r/>
  </w:p>
  <w:p>
    <w:pPr>
      <w:pStyle w:val="1095"/>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9"/>
      </w:rPr>
      <w:framePr w:wrap="around" w:vAnchor="text" w:hAnchor="margin" w:xAlign="right" w:y="1"/>
    </w:pPr>
    <w:r>
      <w:rPr>
        <w:rStyle w:val="1119"/>
      </w:rPr>
      <w:fldChar w:fldCharType="begin"/>
    </w:r>
    <w:r>
      <w:rPr>
        <w:rStyle w:val="1119"/>
      </w:rPr>
      <w:instrText xml:space="preserve">PAGE  </w:instrText>
    </w:r>
    <w:r>
      <w:rPr>
        <w:rStyle w:val="1119"/>
      </w:rPr>
      <w:fldChar w:fldCharType="end"/>
    </w:r>
    <w:r/>
  </w:p>
  <w:p>
    <w:pPr>
      <w:pStyle w:val="109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106045</wp:posOffset>
              </wp:positionH>
              <wp:positionV relativeFrom="margin">
                <wp:posOffset>1628140</wp:posOffset>
              </wp:positionV>
              <wp:extent cx="5401310" cy="5401310"/>
              <wp:effectExtent l="0" t="0" r="8890" b="8890"/>
              <wp:wrapNone/>
              <wp:docPr id="1"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margin;margin-left:8.3pt;mso-position-horizontal:absolute;mso-position-vertical-relative:margin;margin-top:128.2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5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14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4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8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3"/>
      <w:isLgl w:val="false"/>
      <w:suff w:val="nothing"/>
      <w:lvlText w:val="%1.%2.%3.%4.%5.%6　"/>
      <w:lvlJc w:val="left"/>
      <w:pPr>
        <w:ind w:left="-25" w:firstLine="0"/>
      </w:pPr>
      <w:rPr>
        <w:rFonts w:ascii="Times New Roman" w:hAnsi="Times New Roman" w:eastAsia="宋体"/>
        <w:b/>
        <w:i w:val="0"/>
        <w:sz w:val="28"/>
      </w:rPr>
    </w:lvl>
    <w:lvl w:ilvl="6">
      <w:start w:val="1"/>
      <w:numFmt w:val="lowerLetter"/>
      <w:pStyle w:val="120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23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55"/>
      <w:isLgl w:val="false"/>
      <w:suff w:val="tab"/>
      <w:lvlText w:val="%1"/>
      <w:lvlJc w:val="left"/>
      <w:pPr>
        <w:ind w:left="680" w:hanging="680"/>
      </w:pPr>
      <w:rPr>
        <w:rFonts w:hint="eastAsia" w:ascii="宋体" w:hAnsi="宋体" w:eastAsia="宋体"/>
      </w:rPr>
    </w:lvl>
    <w:lvl w:ilvl="1">
      <w:start w:val="1"/>
      <w:numFmt w:val="decimal"/>
      <w:pStyle w:val="1256"/>
      <w:isLgl w:val="false"/>
      <w:suff w:val="tab"/>
      <w:lvlText w:val="%1.%2"/>
      <w:lvlJc w:val="left"/>
      <w:pPr>
        <w:ind w:left="851" w:hanging="851"/>
      </w:pPr>
      <w:rPr>
        <w:rFonts w:hint="eastAsia" w:ascii="宋体" w:hAnsi="宋体" w:eastAsia="宋体"/>
        <w:color w:val="000000"/>
      </w:rPr>
    </w:lvl>
    <w:lvl w:ilvl="2">
      <w:start w:val="1"/>
      <w:numFmt w:val="decimal"/>
      <w:pStyle w:val="125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1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link w:val="12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name w:val="Heading 1"/>
    <w:basedOn w:val="866"/>
    <w:next w:val="866"/>
    <w:link w:val="900"/>
    <w:uiPriority w:val="9"/>
    <w:qFormat/>
    <w:pPr>
      <w:keepLines/>
      <w:keepNext/>
      <w:spacing w:before="480" w:after="200"/>
      <w:outlineLvl w:val="0"/>
    </w:pPr>
    <w:rPr>
      <w:rFonts w:ascii="Arial" w:hAnsi="Arial" w:eastAsia="Arial" w:cs="Arial"/>
      <w:sz w:val="40"/>
      <w:szCs w:val="40"/>
    </w:rPr>
  </w:style>
  <w:style w:type="paragraph" w:styleId="868">
    <w:name w:val="Heading 2"/>
    <w:basedOn w:val="866"/>
    <w:next w:val="866"/>
    <w:link w:val="901"/>
    <w:uiPriority w:val="9"/>
    <w:unhideWhenUsed/>
    <w:qFormat/>
    <w:pPr>
      <w:keepLines/>
      <w:keepNext/>
      <w:spacing w:before="360" w:after="200"/>
      <w:outlineLvl w:val="1"/>
    </w:pPr>
    <w:rPr>
      <w:rFonts w:ascii="Arial" w:hAnsi="Arial" w:eastAsia="Arial" w:cs="Arial"/>
      <w:sz w:val="34"/>
    </w:rPr>
  </w:style>
  <w:style w:type="paragraph" w:styleId="869">
    <w:name w:val="Heading 3"/>
    <w:basedOn w:val="866"/>
    <w:next w:val="866"/>
    <w:link w:val="902"/>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66"/>
    <w:next w:val="866"/>
    <w:link w:val="903"/>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66"/>
    <w:next w:val="866"/>
    <w:link w:val="904"/>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link w:val="905"/>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07"/>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08"/>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right="0" w:firstLine="0"/>
      <w:spacing w:after="57"/>
    </w:pPr>
  </w:style>
  <w:style w:type="paragraph" w:styleId="879">
    <w:name w:val="Caption"/>
    <w:basedOn w:val="866"/>
    <w:next w:val="8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0">
    <w:name w:val="annotation text"/>
    <w:basedOn w:val="866"/>
    <w:uiPriority w:val="99"/>
    <w:semiHidden/>
    <w:unhideWhenUsed/>
    <w:qFormat/>
    <w:pPr>
      <w:jc w:val="left"/>
    </w:pPr>
  </w:style>
  <w:style w:type="paragraph" w:styleId="881">
    <w:name w:val="toc 5"/>
    <w:basedOn w:val="866"/>
    <w:next w:val="866"/>
    <w:uiPriority w:val="39"/>
    <w:unhideWhenUsed/>
    <w:qFormat/>
    <w:pPr>
      <w:ind w:left="1134" w:right="0" w:firstLine="0"/>
      <w:spacing w:after="57"/>
    </w:pPr>
  </w:style>
  <w:style w:type="paragraph" w:styleId="882">
    <w:name w:val="toc 3"/>
    <w:basedOn w:val="866"/>
    <w:next w:val="866"/>
    <w:uiPriority w:val="39"/>
    <w:unhideWhenUsed/>
    <w:qFormat/>
    <w:pPr>
      <w:ind w:left="567" w:right="0" w:firstLine="0"/>
      <w:spacing w:after="57"/>
    </w:pPr>
  </w:style>
  <w:style w:type="paragraph" w:styleId="883">
    <w:name w:val="toc 8"/>
    <w:basedOn w:val="866"/>
    <w:next w:val="866"/>
    <w:uiPriority w:val="39"/>
    <w:unhideWhenUsed/>
    <w:qFormat/>
    <w:pPr>
      <w:ind w:left="1984" w:right="0" w:firstLine="0"/>
      <w:spacing w:after="57"/>
    </w:pPr>
  </w:style>
  <w:style w:type="paragraph" w:styleId="884">
    <w:name w:val="endnote text"/>
    <w:basedOn w:val="866"/>
    <w:link w:val="1046"/>
    <w:uiPriority w:val="99"/>
    <w:semiHidden/>
    <w:unhideWhenUsed/>
    <w:qFormat/>
    <w:pPr>
      <w:spacing w:after="0" w:line="240" w:lineRule="auto"/>
    </w:pPr>
    <w:rPr>
      <w:sz w:val="20"/>
    </w:rPr>
  </w:style>
  <w:style w:type="paragraph" w:styleId="885">
    <w:name w:val="Footer"/>
    <w:basedOn w:val="866"/>
    <w:link w:val="919"/>
    <w:uiPriority w:val="99"/>
    <w:unhideWhenUsed/>
    <w:qFormat/>
    <w:pPr>
      <w:spacing w:after="0" w:line="240" w:lineRule="auto"/>
      <w:tabs>
        <w:tab w:val="center" w:pos="7143" w:leader="none"/>
        <w:tab w:val="right" w:pos="14287" w:leader="none"/>
      </w:tabs>
    </w:pPr>
  </w:style>
  <w:style w:type="paragraph" w:styleId="886">
    <w:name w:val="Header"/>
    <w:basedOn w:val="866"/>
    <w:link w:val="917"/>
    <w:uiPriority w:val="99"/>
    <w:unhideWhenUsed/>
    <w:qFormat/>
    <w:pPr>
      <w:spacing w:after="0" w:line="240" w:lineRule="auto"/>
      <w:tabs>
        <w:tab w:val="center" w:pos="7143" w:leader="none"/>
        <w:tab w:val="right" w:pos="14287" w:leader="none"/>
      </w:tabs>
    </w:pPr>
  </w:style>
  <w:style w:type="paragraph" w:styleId="887">
    <w:name w:val="toc 1"/>
    <w:basedOn w:val="866"/>
    <w:next w:val="866"/>
    <w:uiPriority w:val="39"/>
    <w:unhideWhenUsed/>
    <w:qFormat/>
    <w:pPr>
      <w:ind w:left="0" w:right="0" w:firstLine="0"/>
      <w:spacing w:after="57"/>
    </w:pPr>
  </w:style>
  <w:style w:type="paragraph" w:styleId="888">
    <w:name w:val="toc 4"/>
    <w:basedOn w:val="866"/>
    <w:next w:val="866"/>
    <w:uiPriority w:val="39"/>
    <w:unhideWhenUsed/>
    <w:qFormat/>
    <w:pPr>
      <w:ind w:left="850" w:right="0" w:firstLine="0"/>
      <w:spacing w:after="57"/>
    </w:pPr>
  </w:style>
  <w:style w:type="paragraph" w:styleId="889">
    <w:name w:val="Subtitle"/>
    <w:basedOn w:val="866"/>
    <w:next w:val="866"/>
    <w:link w:val="912"/>
    <w:uiPriority w:val="11"/>
    <w:qFormat/>
    <w:pPr>
      <w:spacing w:before="200" w:after="200"/>
    </w:pPr>
    <w:rPr>
      <w:sz w:val="24"/>
      <w:szCs w:val="24"/>
    </w:rPr>
  </w:style>
  <w:style w:type="paragraph" w:styleId="890">
    <w:name w:val="footnote text"/>
    <w:basedOn w:val="866"/>
    <w:link w:val="1045"/>
    <w:uiPriority w:val="99"/>
    <w:semiHidden/>
    <w:unhideWhenUsed/>
    <w:qFormat/>
    <w:pPr>
      <w:spacing w:after="40" w:line="240" w:lineRule="auto"/>
    </w:pPr>
    <w:rPr>
      <w:sz w:val="18"/>
    </w:rPr>
  </w:style>
  <w:style w:type="paragraph" w:styleId="891">
    <w:name w:val="toc 6"/>
    <w:basedOn w:val="866"/>
    <w:next w:val="866"/>
    <w:uiPriority w:val="39"/>
    <w:unhideWhenUsed/>
    <w:qFormat/>
    <w:pPr>
      <w:ind w:left="1417" w:right="0" w:firstLine="0"/>
      <w:spacing w:after="57"/>
    </w:pPr>
  </w:style>
  <w:style w:type="paragraph" w:styleId="892">
    <w:name w:val="table of figures"/>
    <w:basedOn w:val="866"/>
    <w:next w:val="866"/>
    <w:uiPriority w:val="99"/>
    <w:unhideWhenUsed/>
    <w:qFormat/>
    <w:pPr>
      <w:spacing w:after="0" w:afterAutospacing="0"/>
    </w:pPr>
  </w:style>
  <w:style w:type="paragraph" w:styleId="893">
    <w:name w:val="toc 2"/>
    <w:basedOn w:val="866"/>
    <w:next w:val="866"/>
    <w:uiPriority w:val="39"/>
    <w:unhideWhenUsed/>
    <w:qFormat/>
    <w:pPr>
      <w:ind w:left="283" w:right="0" w:firstLine="0"/>
      <w:spacing w:after="57"/>
    </w:pPr>
  </w:style>
  <w:style w:type="paragraph" w:styleId="894">
    <w:name w:val="toc 9"/>
    <w:basedOn w:val="866"/>
    <w:next w:val="866"/>
    <w:uiPriority w:val="39"/>
    <w:unhideWhenUsed/>
    <w:qFormat/>
    <w:pPr>
      <w:ind w:left="2268" w:right="0" w:firstLine="0"/>
      <w:spacing w:after="57"/>
    </w:pPr>
  </w:style>
  <w:style w:type="paragraph" w:styleId="895">
    <w:name w:val="Title"/>
    <w:basedOn w:val="866"/>
    <w:next w:val="866"/>
    <w:link w:val="911"/>
    <w:uiPriority w:val="10"/>
    <w:qFormat/>
    <w:pPr>
      <w:contextualSpacing/>
      <w:spacing w:before="300" w:after="200"/>
    </w:pPr>
    <w:rPr>
      <w:sz w:val="48"/>
      <w:szCs w:val="48"/>
    </w:rPr>
  </w:style>
  <w:style w:type="table" w:styleId="8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endnote reference"/>
    <w:uiPriority w:val="99"/>
    <w:semiHidden/>
    <w:unhideWhenUsed/>
    <w:qFormat/>
    <w:rPr>
      <w:vertAlign w:val="superscript"/>
    </w:rPr>
  </w:style>
  <w:style w:type="character" w:styleId="898">
    <w:name w:val="Hyperlink"/>
    <w:uiPriority w:val="99"/>
    <w:unhideWhenUsed/>
    <w:qFormat/>
    <w:rPr>
      <w:color w:val="0000ff" w:themeColor="hyperlink"/>
      <w:u w:val="single"/>
      <w14:textFill>
        <w14:solidFill>
          <w14:schemeClr w14:val="hlink"/>
        </w14:solidFill>
      </w14:textFill>
    </w:rPr>
  </w:style>
  <w:style w:type="character" w:styleId="899">
    <w:name w:val="footnote reference"/>
    <w:uiPriority w:val="99"/>
    <w:unhideWhenUsed/>
    <w:qFormat/>
    <w:rPr>
      <w:vertAlign w:val="superscript"/>
    </w:rPr>
  </w:style>
  <w:style w:type="character" w:styleId="900" w:customStyle="1">
    <w:name w:val="Heading 1 Char"/>
    <w:link w:val="867"/>
    <w:uiPriority w:val="9"/>
    <w:qFormat/>
    <w:rPr>
      <w:rFonts w:ascii="Arial" w:hAnsi="Arial" w:eastAsia="Arial" w:cs="Arial"/>
      <w:sz w:val="40"/>
      <w:szCs w:val="40"/>
    </w:rPr>
  </w:style>
  <w:style w:type="character" w:styleId="901" w:customStyle="1">
    <w:name w:val="Heading 2 Char"/>
    <w:link w:val="868"/>
    <w:uiPriority w:val="9"/>
    <w:qFormat/>
    <w:rPr>
      <w:rFonts w:ascii="Arial" w:hAnsi="Arial" w:eastAsia="Arial" w:cs="Arial"/>
      <w:sz w:val="34"/>
    </w:rPr>
  </w:style>
  <w:style w:type="character" w:styleId="902" w:customStyle="1">
    <w:name w:val="Heading 3 Char"/>
    <w:link w:val="869"/>
    <w:uiPriority w:val="9"/>
    <w:qFormat/>
    <w:rPr>
      <w:rFonts w:ascii="Arial" w:hAnsi="Arial" w:eastAsia="Arial" w:cs="Arial"/>
      <w:sz w:val="30"/>
      <w:szCs w:val="30"/>
    </w:rPr>
  </w:style>
  <w:style w:type="character" w:styleId="903" w:customStyle="1">
    <w:name w:val="Heading 4 Char"/>
    <w:link w:val="870"/>
    <w:uiPriority w:val="9"/>
    <w:qFormat/>
    <w:rPr>
      <w:rFonts w:ascii="Arial" w:hAnsi="Arial" w:eastAsia="Arial" w:cs="Arial"/>
      <w:b/>
      <w:bCs/>
      <w:sz w:val="26"/>
      <w:szCs w:val="26"/>
    </w:rPr>
  </w:style>
  <w:style w:type="character" w:styleId="904" w:customStyle="1">
    <w:name w:val="Heading 5 Char"/>
    <w:link w:val="871"/>
    <w:uiPriority w:val="9"/>
    <w:qFormat/>
    <w:rPr>
      <w:rFonts w:ascii="Arial" w:hAnsi="Arial" w:eastAsia="Arial" w:cs="Arial"/>
      <w:b/>
      <w:bCs/>
      <w:sz w:val="24"/>
      <w:szCs w:val="24"/>
    </w:rPr>
  </w:style>
  <w:style w:type="character" w:styleId="905" w:customStyle="1">
    <w:name w:val="Heading 6 Char"/>
    <w:link w:val="872"/>
    <w:uiPriority w:val="9"/>
    <w:qFormat/>
    <w:rPr>
      <w:rFonts w:ascii="Arial" w:hAnsi="Arial" w:eastAsia="Arial" w:cs="Arial"/>
      <w:b/>
      <w:bCs/>
      <w:sz w:val="22"/>
      <w:szCs w:val="22"/>
    </w:rPr>
  </w:style>
  <w:style w:type="character" w:styleId="906" w:customStyle="1">
    <w:name w:val="Heading 7 Char"/>
    <w:link w:val="873"/>
    <w:uiPriority w:val="9"/>
    <w:qFormat/>
    <w:rPr>
      <w:rFonts w:ascii="Arial" w:hAnsi="Arial" w:eastAsia="Arial" w:cs="Arial"/>
      <w:b/>
      <w:bCs/>
      <w:i/>
      <w:iCs/>
      <w:sz w:val="22"/>
      <w:szCs w:val="22"/>
    </w:rPr>
  </w:style>
  <w:style w:type="character" w:styleId="907" w:customStyle="1">
    <w:name w:val="Heading 8 Char"/>
    <w:link w:val="874"/>
    <w:uiPriority w:val="9"/>
    <w:qFormat/>
    <w:rPr>
      <w:rFonts w:ascii="Arial" w:hAnsi="Arial" w:eastAsia="Arial" w:cs="Arial"/>
      <w:i/>
      <w:iCs/>
      <w:sz w:val="22"/>
      <w:szCs w:val="22"/>
    </w:rPr>
  </w:style>
  <w:style w:type="character" w:styleId="908" w:customStyle="1">
    <w:name w:val="Heading 9 Char"/>
    <w:link w:val="875"/>
    <w:uiPriority w:val="9"/>
    <w:qFormat/>
    <w:rPr>
      <w:rFonts w:ascii="Arial" w:hAnsi="Arial" w:eastAsia="Arial" w:cs="Arial"/>
      <w:i/>
      <w:iCs/>
      <w:sz w:val="21"/>
      <w:szCs w:val="21"/>
    </w:rPr>
  </w:style>
  <w:style w:type="paragraph" w:styleId="909">
    <w:name w:val="List Paragraph"/>
    <w:basedOn w:val="866"/>
    <w:uiPriority w:val="34"/>
    <w:qFormat/>
    <w:pPr>
      <w:contextualSpacing/>
      <w:ind w:left="720"/>
    </w:pPr>
  </w:style>
  <w:style w:type="paragraph" w:styleId="910">
    <w:name w:val="No Spacing"/>
    <w:uiPriority w:val="1"/>
    <w:qFormat/>
    <w:pPr>
      <w:spacing w:before="0" w:after="0" w:line="240" w:lineRule="auto"/>
    </w:pPr>
    <w:rPr>
      <w:rFonts w:hint="default" w:ascii="Times New Roman" w:hAnsi="Times New Roman" w:eastAsia="宋体" w:cs="Times New Roman"/>
    </w:rPr>
  </w:style>
  <w:style w:type="character" w:styleId="911" w:customStyle="1">
    <w:name w:val="Title Char"/>
    <w:link w:val="895"/>
    <w:uiPriority w:val="10"/>
    <w:qFormat/>
    <w:rPr>
      <w:sz w:val="48"/>
      <w:szCs w:val="48"/>
    </w:rPr>
  </w:style>
  <w:style w:type="character" w:styleId="912" w:customStyle="1">
    <w:name w:val="Subtitle Char"/>
    <w:link w:val="889"/>
    <w:uiPriority w:val="11"/>
    <w:qFormat/>
    <w:rPr>
      <w:sz w:val="24"/>
      <w:szCs w:val="24"/>
    </w:rPr>
  </w:style>
  <w:style w:type="paragraph" w:styleId="913">
    <w:name w:val="Quote"/>
    <w:basedOn w:val="866"/>
    <w:next w:val="866"/>
    <w:link w:val="914"/>
    <w:uiPriority w:val="29"/>
    <w:qFormat/>
    <w:pPr>
      <w:ind w:left="720" w:right="720"/>
    </w:pPr>
    <w:rPr>
      <w:i/>
    </w:rPr>
  </w:style>
  <w:style w:type="character" w:styleId="914" w:customStyle="1">
    <w:name w:val="Quote Char"/>
    <w:link w:val="913"/>
    <w:uiPriority w:val="29"/>
    <w:qFormat/>
    <w:rPr>
      <w:i/>
    </w:rPr>
  </w:style>
  <w:style w:type="paragraph" w:styleId="915">
    <w:name w:val="Intense Quote"/>
    <w:basedOn w:val="866"/>
    <w:next w:val="866"/>
    <w:link w:val="9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Intense Quote Char"/>
    <w:link w:val="915"/>
    <w:uiPriority w:val="30"/>
    <w:qFormat/>
    <w:rPr>
      <w:i/>
    </w:rPr>
  </w:style>
  <w:style w:type="character" w:styleId="917" w:customStyle="1">
    <w:name w:val="Header Char"/>
    <w:link w:val="886"/>
    <w:uiPriority w:val="99"/>
    <w:qFormat/>
  </w:style>
  <w:style w:type="character" w:styleId="918" w:customStyle="1">
    <w:name w:val="Footer Char"/>
    <w:link w:val="885"/>
    <w:uiPriority w:val="99"/>
    <w:qFormat/>
  </w:style>
  <w:style w:type="character" w:styleId="919" w:customStyle="1">
    <w:name w:val="Caption Char"/>
    <w:link w:val="885"/>
    <w:uiPriority w:val="99"/>
    <w:qFormat/>
  </w:style>
  <w:style w:type="table" w:styleId="9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Footnote Text Char"/>
    <w:link w:val="890"/>
    <w:uiPriority w:val="99"/>
    <w:qFormat/>
    <w:rPr>
      <w:sz w:val="18"/>
    </w:rPr>
  </w:style>
  <w:style w:type="character" w:styleId="1046" w:customStyle="1">
    <w:name w:val="Endnote Text Char"/>
    <w:link w:val="884"/>
    <w:uiPriority w:val="99"/>
    <w:qFormat/>
    <w:rPr>
      <w:sz w:val="20"/>
    </w:rPr>
  </w:style>
  <w:style w:type="paragraph" w:styleId="1047" w:customStyle="1">
    <w:name w:val="TOC Heading"/>
    <w:uiPriority w:val="39"/>
    <w:unhideWhenUsed/>
    <w:qFormat/>
    <w:rPr>
      <w:rFonts w:hint="default" w:ascii="Times New Roman" w:hAnsi="Times New Roman" w:eastAsia="宋体" w:cs="Times New Roman"/>
    </w:rPr>
  </w:style>
  <w:style w:type="paragraph" w:styleId="1048" w:customStyle="1">
    <w:name w:val="标题 11"/>
    <w:basedOn w:val="866"/>
    <w:next w:val="866"/>
    <w:link w:val="1060"/>
    <w:uiPriority w:val="0"/>
    <w:qFormat/>
    <w:pPr>
      <w:jc w:val="center"/>
      <w:keepLines/>
      <w:keepNext/>
      <w:spacing w:before="240" w:after="120" w:line="300" w:lineRule="auto"/>
      <w:outlineLvl w:val="0"/>
    </w:pPr>
    <w:rPr>
      <w:rFonts w:ascii="宋体"/>
      <w:b/>
      <w:sz w:val="32"/>
      <w:szCs w:val="20"/>
    </w:rPr>
  </w:style>
  <w:style w:type="paragraph" w:styleId="1049" w:customStyle="1">
    <w:name w:val="标题 21"/>
    <w:basedOn w:val="866"/>
    <w:next w:val="1050"/>
    <w:link w:val="1061"/>
    <w:uiPriority w:val="0"/>
    <w:qFormat/>
    <w:pPr>
      <w:jc w:val="center"/>
      <w:keepLines/>
      <w:keepNext/>
      <w:spacing w:before="120" w:line="300" w:lineRule="auto"/>
      <w:outlineLvl w:val="1"/>
    </w:pPr>
    <w:rPr>
      <w:rFonts w:ascii="Arial" w:hAnsi="Arial" w:eastAsia="黑体"/>
      <w:b/>
      <w:sz w:val="30"/>
      <w:szCs w:val="20"/>
    </w:rPr>
  </w:style>
  <w:style w:type="paragraph" w:styleId="1050" w:customStyle="1">
    <w:name w:val="正文缩进11"/>
    <w:basedOn w:val="866"/>
    <w:link w:val="1062"/>
    <w:uiPriority w:val="99"/>
    <w:qFormat/>
    <w:pPr>
      <w:ind w:firstLine="420"/>
      <w:jc w:val="left"/>
    </w:pPr>
    <w:rPr>
      <w:rFonts w:ascii="宋体"/>
      <w:sz w:val="24"/>
    </w:rPr>
  </w:style>
  <w:style w:type="paragraph" w:styleId="1051" w:customStyle="1">
    <w:name w:val="标题 31"/>
    <w:basedOn w:val="866"/>
    <w:next w:val="1050"/>
    <w:link w:val="1063"/>
    <w:uiPriority w:val="0"/>
    <w:qFormat/>
    <w:pPr>
      <w:jc w:val="left"/>
      <w:keepLines/>
      <w:keepNext/>
      <w:spacing w:before="360" w:after="120"/>
      <w:outlineLvl w:val="2"/>
    </w:pPr>
    <w:rPr>
      <w:rFonts w:ascii="宋体"/>
      <w:b/>
      <w:sz w:val="24"/>
      <w:szCs w:val="20"/>
      <w:u w:val="single"/>
    </w:rPr>
  </w:style>
  <w:style w:type="paragraph" w:styleId="1052" w:customStyle="1">
    <w:name w:val="标题 41"/>
    <w:basedOn w:val="866"/>
    <w:next w:val="866"/>
    <w:link w:val="1064"/>
    <w:uiPriority w:val="0"/>
    <w:qFormat/>
    <w:pPr>
      <w:keepLines/>
      <w:keepNext/>
      <w:spacing w:before="280" w:after="290" w:line="376" w:lineRule="atLeast"/>
      <w:outlineLvl w:val="3"/>
    </w:pPr>
    <w:rPr>
      <w:rFonts w:ascii="Arial" w:hAnsi="Arial" w:eastAsia="黑体"/>
      <w:b/>
      <w:sz w:val="28"/>
      <w:szCs w:val="20"/>
    </w:rPr>
  </w:style>
  <w:style w:type="paragraph" w:styleId="1053" w:customStyle="1">
    <w:name w:val="标题 51"/>
    <w:basedOn w:val="866"/>
    <w:next w:val="866"/>
    <w:link w:val="1065"/>
    <w:uiPriority w:val="0"/>
    <w:qFormat/>
    <w:pPr>
      <w:keepLines/>
      <w:keepNext/>
      <w:spacing w:before="280" w:after="290" w:line="376" w:lineRule="atLeast"/>
      <w:outlineLvl w:val="4"/>
    </w:pPr>
    <w:rPr>
      <w:b/>
      <w:sz w:val="28"/>
      <w:szCs w:val="20"/>
    </w:rPr>
  </w:style>
  <w:style w:type="paragraph" w:styleId="1054" w:customStyle="1">
    <w:name w:val="标题 61"/>
    <w:basedOn w:val="866"/>
    <w:next w:val="866"/>
    <w:link w:val="1066"/>
    <w:uiPriority w:val="0"/>
    <w:qFormat/>
    <w:pPr>
      <w:keepLines/>
      <w:keepNext/>
      <w:spacing w:before="240" w:after="64" w:line="320" w:lineRule="atLeast"/>
      <w:outlineLvl w:val="5"/>
    </w:pPr>
    <w:rPr>
      <w:rFonts w:ascii="Arial" w:hAnsi="Arial" w:eastAsia="黑体"/>
      <w:b/>
      <w:sz w:val="24"/>
      <w:szCs w:val="20"/>
    </w:rPr>
  </w:style>
  <w:style w:type="paragraph" w:styleId="1055" w:customStyle="1">
    <w:name w:val="标题 71"/>
    <w:basedOn w:val="866"/>
    <w:next w:val="866"/>
    <w:link w:val="1067"/>
    <w:uiPriority w:val="0"/>
    <w:qFormat/>
    <w:pPr>
      <w:keepLines/>
      <w:keepNext/>
      <w:spacing w:before="240" w:after="64" w:line="320" w:lineRule="atLeast"/>
      <w:outlineLvl w:val="6"/>
    </w:pPr>
    <w:rPr>
      <w:b/>
      <w:sz w:val="24"/>
      <w:szCs w:val="20"/>
    </w:rPr>
  </w:style>
  <w:style w:type="paragraph" w:styleId="1056" w:customStyle="1">
    <w:name w:val="标题 81"/>
    <w:basedOn w:val="866"/>
    <w:next w:val="866"/>
    <w:link w:val="1068"/>
    <w:uiPriority w:val="0"/>
    <w:qFormat/>
    <w:pPr>
      <w:keepLines/>
      <w:keepNext/>
      <w:spacing w:before="240" w:after="64" w:line="320" w:lineRule="atLeast"/>
      <w:outlineLvl w:val="7"/>
    </w:pPr>
    <w:rPr>
      <w:rFonts w:ascii="Arial" w:hAnsi="Arial" w:eastAsia="黑体"/>
      <w:sz w:val="24"/>
      <w:szCs w:val="20"/>
    </w:rPr>
  </w:style>
  <w:style w:type="paragraph" w:styleId="1057" w:customStyle="1">
    <w:name w:val="标题 91"/>
    <w:basedOn w:val="866"/>
    <w:next w:val="866"/>
    <w:link w:val="1069"/>
    <w:uiPriority w:val="0"/>
    <w:qFormat/>
    <w:pPr>
      <w:keepLines/>
      <w:keepNext/>
      <w:spacing w:before="240" w:after="64" w:line="320" w:lineRule="atLeast"/>
      <w:outlineLvl w:val="8"/>
    </w:pPr>
    <w:rPr>
      <w:rFonts w:ascii="Arial" w:hAnsi="Arial" w:eastAsia="黑体"/>
      <w:szCs w:val="20"/>
    </w:rPr>
  </w:style>
  <w:style w:type="character" w:styleId="1058" w:customStyle="1">
    <w:name w:val="默认段落字体1"/>
    <w:link w:val="866"/>
    <w:uiPriority w:val="1"/>
    <w:unhideWhenUsed/>
    <w:qFormat/>
  </w:style>
  <w:style w:type="table" w:styleId="1059" w:customStyle="1">
    <w:name w:val="普通表格1"/>
    <w:uiPriority w:val="99"/>
    <w:unhideWhenUsed/>
    <w:qFormat/>
    <w:tblPr/>
  </w:style>
  <w:style w:type="character" w:styleId="1060" w:customStyle="1">
    <w:name w:val="标题 1 字符"/>
    <w:link w:val="1048"/>
    <w:uiPriority w:val="0"/>
    <w:qFormat/>
    <w:rPr>
      <w:rFonts w:ascii="宋体"/>
      <w:b/>
      <w:sz w:val="32"/>
    </w:rPr>
  </w:style>
  <w:style w:type="character" w:styleId="1061" w:customStyle="1">
    <w:name w:val="标题 2 字符"/>
    <w:link w:val="1049"/>
    <w:uiPriority w:val="0"/>
    <w:qFormat/>
    <w:rPr>
      <w:rFonts w:ascii="Arial" w:hAnsi="Arial" w:eastAsia="黑体"/>
      <w:b/>
      <w:sz w:val="30"/>
      <w:lang w:val="en-US" w:eastAsia="zh-CN" w:bidi="ar-SA"/>
    </w:rPr>
  </w:style>
  <w:style w:type="character" w:styleId="1062" w:customStyle="1">
    <w:name w:val="正文缩进 字符1"/>
    <w:link w:val="1050"/>
    <w:uiPriority w:val="0"/>
    <w:qFormat/>
    <w:rPr>
      <w:rFonts w:ascii="宋体" w:eastAsia="宋体"/>
      <w:sz w:val="24"/>
      <w:szCs w:val="24"/>
      <w:lang w:val="en-US" w:eastAsia="zh-CN" w:bidi="ar-SA"/>
    </w:rPr>
  </w:style>
  <w:style w:type="character" w:styleId="1063" w:customStyle="1">
    <w:name w:val="标题 3 字符"/>
    <w:link w:val="1051"/>
    <w:uiPriority w:val="0"/>
    <w:qFormat/>
    <w:rPr>
      <w:rFonts w:ascii="宋体" w:eastAsia="宋体"/>
      <w:b/>
      <w:sz w:val="24"/>
      <w:u w:val="single"/>
      <w:lang w:val="en-US" w:eastAsia="zh-CN" w:bidi="ar-SA"/>
    </w:rPr>
  </w:style>
  <w:style w:type="character" w:styleId="1064" w:customStyle="1">
    <w:name w:val="标题 4 字符"/>
    <w:link w:val="1052"/>
    <w:uiPriority w:val="0"/>
    <w:qFormat/>
    <w:rPr>
      <w:rFonts w:ascii="Arial" w:hAnsi="Arial" w:eastAsia="黑体"/>
      <w:b/>
      <w:sz w:val="28"/>
    </w:rPr>
  </w:style>
  <w:style w:type="character" w:styleId="1065" w:customStyle="1">
    <w:name w:val="标题 5 字符"/>
    <w:link w:val="1053"/>
    <w:uiPriority w:val="0"/>
    <w:qFormat/>
    <w:rPr>
      <w:b/>
      <w:sz w:val="28"/>
    </w:rPr>
  </w:style>
  <w:style w:type="character" w:styleId="1066" w:customStyle="1">
    <w:name w:val="标题 6 字符"/>
    <w:link w:val="1054"/>
    <w:uiPriority w:val="0"/>
    <w:qFormat/>
    <w:rPr>
      <w:rFonts w:ascii="Arial" w:hAnsi="Arial" w:eastAsia="黑体"/>
      <w:b/>
      <w:sz w:val="24"/>
    </w:rPr>
  </w:style>
  <w:style w:type="character" w:styleId="1067" w:customStyle="1">
    <w:name w:val="标题 7 字符"/>
    <w:link w:val="1055"/>
    <w:uiPriority w:val="0"/>
    <w:qFormat/>
    <w:rPr>
      <w:b/>
      <w:sz w:val="24"/>
    </w:rPr>
  </w:style>
  <w:style w:type="character" w:styleId="1068" w:customStyle="1">
    <w:name w:val="标题 8 字符"/>
    <w:link w:val="1056"/>
    <w:uiPriority w:val="0"/>
    <w:qFormat/>
    <w:rPr>
      <w:rFonts w:ascii="Arial" w:hAnsi="Arial" w:eastAsia="黑体"/>
      <w:sz w:val="24"/>
    </w:rPr>
  </w:style>
  <w:style w:type="character" w:styleId="1069" w:customStyle="1">
    <w:name w:val="标题 9 字符"/>
    <w:link w:val="1057"/>
    <w:uiPriority w:val="0"/>
    <w:qFormat/>
    <w:rPr>
      <w:rFonts w:ascii="Arial" w:hAnsi="Arial" w:eastAsia="黑体"/>
      <w:sz w:val="21"/>
    </w:rPr>
  </w:style>
  <w:style w:type="paragraph" w:styleId="1070" w:customStyle="1">
    <w:name w:val="目录 71"/>
    <w:basedOn w:val="866"/>
    <w:next w:val="866"/>
    <w:uiPriority w:val="0"/>
    <w:qFormat/>
    <w:pPr>
      <w:ind w:left="2520"/>
    </w:pPr>
  </w:style>
  <w:style w:type="paragraph" w:styleId="1071" w:customStyle="1">
    <w:name w:val="题注1"/>
    <w:basedOn w:val="866"/>
    <w:next w:val="866"/>
    <w:uiPriority w:val="0"/>
    <w:qFormat/>
    <w:pPr>
      <w:spacing w:line="480" w:lineRule="auto"/>
    </w:pPr>
    <w:rPr>
      <w:rFonts w:ascii="华文中宋" w:hAnsi="华文中宋" w:eastAsia="华文中宋"/>
      <w:sz w:val="36"/>
      <w:szCs w:val="20"/>
    </w:rPr>
  </w:style>
  <w:style w:type="paragraph" w:styleId="1072" w:customStyle="1">
    <w:name w:val="文档结构图1"/>
    <w:basedOn w:val="866"/>
    <w:link w:val="1073"/>
    <w:uiPriority w:val="0"/>
    <w:qFormat/>
    <w:pPr>
      <w:shd w:val="clear" w:color="auto" w:fill="000080"/>
    </w:pPr>
  </w:style>
  <w:style w:type="character" w:styleId="1073" w:customStyle="1">
    <w:name w:val="文档结构图 字符"/>
    <w:link w:val="1072"/>
    <w:uiPriority w:val="0"/>
    <w:qFormat/>
    <w:rPr>
      <w:sz w:val="21"/>
      <w:szCs w:val="24"/>
      <w:shd w:val="clear" w:color="auto" w:fill="000080"/>
    </w:rPr>
  </w:style>
  <w:style w:type="paragraph" w:styleId="1074" w:customStyle="1">
    <w:name w:val="批注文字1"/>
    <w:basedOn w:val="866"/>
    <w:link w:val="1075"/>
    <w:uiPriority w:val="0"/>
    <w:qFormat/>
    <w:pPr>
      <w:jc w:val="left"/>
    </w:pPr>
  </w:style>
  <w:style w:type="character" w:styleId="1075" w:customStyle="1">
    <w:name w:val="批注文字 字符1"/>
    <w:link w:val="1074"/>
    <w:uiPriority w:val="99"/>
    <w:qFormat/>
    <w:rPr>
      <w:sz w:val="21"/>
      <w:szCs w:val="24"/>
    </w:rPr>
  </w:style>
  <w:style w:type="paragraph" w:styleId="1076" w:customStyle="1">
    <w:name w:val="正文文本 31"/>
    <w:basedOn w:val="866"/>
    <w:link w:val="1077"/>
    <w:uiPriority w:val="0"/>
    <w:qFormat/>
    <w:pPr>
      <w:spacing w:after="120"/>
    </w:pPr>
    <w:rPr>
      <w:sz w:val="16"/>
      <w:szCs w:val="16"/>
    </w:rPr>
  </w:style>
  <w:style w:type="character" w:styleId="1077" w:customStyle="1">
    <w:name w:val="正文文本 3 字符"/>
    <w:link w:val="1076"/>
    <w:uiPriority w:val="0"/>
    <w:qFormat/>
    <w:rPr>
      <w:sz w:val="16"/>
      <w:szCs w:val="16"/>
    </w:rPr>
  </w:style>
  <w:style w:type="paragraph" w:styleId="1078" w:customStyle="1">
    <w:name w:val="正文文本1"/>
    <w:basedOn w:val="866"/>
    <w:link w:val="1079"/>
    <w:uiPriority w:val="0"/>
    <w:qFormat/>
    <w:pPr>
      <w:spacing w:before="120" w:line="22" w:lineRule="atLeast"/>
      <w:tabs>
        <w:tab w:val="left" w:pos="567" w:leader="none"/>
      </w:tabs>
    </w:pPr>
    <w:rPr>
      <w:rFonts w:ascii="宋体" w:hAnsi="宋体"/>
      <w:sz w:val="24"/>
    </w:rPr>
  </w:style>
  <w:style w:type="character" w:styleId="1079" w:customStyle="1">
    <w:name w:val="正文文本 字符1"/>
    <w:link w:val="1078"/>
    <w:uiPriority w:val="0"/>
    <w:qFormat/>
    <w:rPr>
      <w:rFonts w:ascii="宋体" w:hAnsi="宋体"/>
      <w:sz w:val="24"/>
      <w:szCs w:val="24"/>
    </w:rPr>
  </w:style>
  <w:style w:type="paragraph" w:styleId="1080" w:customStyle="1">
    <w:name w:val="正文文本缩进11"/>
    <w:basedOn w:val="866"/>
    <w:link w:val="1081"/>
    <w:uiPriority w:val="0"/>
    <w:qFormat/>
    <w:pPr>
      <w:ind w:firstLine="570"/>
      <w:spacing w:line="360" w:lineRule="auto"/>
    </w:pPr>
    <w:rPr>
      <w:sz w:val="24"/>
    </w:rPr>
  </w:style>
  <w:style w:type="character" w:styleId="1081" w:customStyle="1">
    <w:name w:val="正文文本缩进 字符"/>
    <w:link w:val="1080"/>
    <w:uiPriority w:val="0"/>
    <w:qFormat/>
    <w:rPr>
      <w:rFonts w:eastAsia="宋体"/>
      <w:sz w:val="24"/>
      <w:szCs w:val="24"/>
      <w:lang w:val="en-US" w:eastAsia="zh-CN" w:bidi="ar-SA"/>
    </w:rPr>
  </w:style>
  <w:style w:type="paragraph" w:styleId="1082" w:customStyle="1">
    <w:name w:val="列表 21"/>
    <w:basedOn w:val="866"/>
    <w:uiPriority w:val="0"/>
    <w:qFormat/>
    <w:pPr>
      <w:ind w:left="100" w:hanging="200"/>
    </w:pPr>
  </w:style>
  <w:style w:type="paragraph" w:styleId="1083" w:customStyle="1">
    <w:name w:val="文本块1"/>
    <w:basedOn w:val="866"/>
    <w:uiPriority w:val="0"/>
    <w:qFormat/>
    <w:pPr>
      <w:ind w:left="480" w:right="-341" w:firstLine="513"/>
      <w:widowControl/>
    </w:pPr>
    <w:rPr>
      <w:sz w:val="24"/>
      <w:szCs w:val="20"/>
    </w:rPr>
  </w:style>
  <w:style w:type="paragraph" w:styleId="1084" w:customStyle="1">
    <w:name w:val="目录 51"/>
    <w:basedOn w:val="866"/>
    <w:next w:val="866"/>
    <w:uiPriority w:val="0"/>
    <w:qFormat/>
    <w:pPr>
      <w:ind w:left="1680"/>
    </w:pPr>
  </w:style>
  <w:style w:type="paragraph" w:styleId="1085" w:customStyle="1">
    <w:name w:val="目录 31"/>
    <w:basedOn w:val="866"/>
    <w:next w:val="866"/>
    <w:uiPriority w:val="39"/>
    <w:qFormat/>
    <w:pPr>
      <w:ind w:left="840"/>
    </w:pPr>
  </w:style>
  <w:style w:type="paragraph" w:styleId="1086" w:customStyle="1">
    <w:name w:val="纯文本11"/>
    <w:basedOn w:val="866"/>
    <w:link w:val="1087"/>
    <w:uiPriority w:val="99"/>
    <w:qFormat/>
    <w:rPr>
      <w:rFonts w:hint="eastAsia" w:ascii="宋体" w:hAnsi="Courier New"/>
      <w:szCs w:val="20"/>
    </w:rPr>
  </w:style>
  <w:style w:type="character" w:styleId="1087" w:customStyle="1">
    <w:name w:val="纯文本 字符2"/>
    <w:link w:val="1086"/>
    <w:uiPriority w:val="0"/>
    <w:qFormat/>
    <w:rPr>
      <w:rFonts w:hint="eastAsia" w:ascii="宋体" w:hAnsi="Courier New" w:eastAsia="宋体" w:cs="宋体"/>
      <w:sz w:val="21"/>
    </w:rPr>
  </w:style>
  <w:style w:type="paragraph" w:styleId="1088" w:customStyle="1">
    <w:name w:val="目录 81"/>
    <w:basedOn w:val="866"/>
    <w:next w:val="866"/>
    <w:uiPriority w:val="0"/>
    <w:qFormat/>
    <w:pPr>
      <w:ind w:left="2940"/>
    </w:pPr>
  </w:style>
  <w:style w:type="paragraph" w:styleId="1089" w:customStyle="1">
    <w:name w:val="日期1"/>
    <w:basedOn w:val="866"/>
    <w:next w:val="866"/>
    <w:link w:val="1090"/>
    <w:uiPriority w:val="0"/>
    <w:qFormat/>
    <w:pPr>
      <w:ind w:left="100"/>
    </w:pPr>
    <w:rPr>
      <w:rFonts w:ascii="仿宋_GB2312" w:hAnsi="宋体" w:eastAsia="仿宋_GB2312"/>
      <w:color w:val="000000"/>
      <w:sz w:val="24"/>
    </w:rPr>
  </w:style>
  <w:style w:type="character" w:styleId="1090" w:customStyle="1">
    <w:name w:val="日期 字符"/>
    <w:link w:val="1089"/>
    <w:uiPriority w:val="0"/>
    <w:qFormat/>
    <w:rPr>
      <w:rFonts w:ascii="仿宋_GB2312" w:hAnsi="宋体" w:eastAsia="仿宋_GB2312"/>
      <w:color w:val="000000"/>
      <w:sz w:val="24"/>
      <w:szCs w:val="24"/>
    </w:rPr>
  </w:style>
  <w:style w:type="paragraph" w:styleId="1091" w:customStyle="1">
    <w:name w:val="正文文本缩进 21"/>
    <w:basedOn w:val="866"/>
    <w:link w:val="1092"/>
    <w:uiPriority w:val="0"/>
    <w:qFormat/>
    <w:pPr>
      <w:ind w:firstLine="480"/>
    </w:pPr>
    <w:rPr>
      <w:rFonts w:ascii="仿宋_GB2312" w:eastAsia="仿宋_GB2312"/>
      <w:sz w:val="24"/>
    </w:rPr>
  </w:style>
  <w:style w:type="character" w:styleId="1092" w:customStyle="1">
    <w:name w:val="正文文本缩进 2 字符"/>
    <w:link w:val="1091"/>
    <w:uiPriority w:val="0"/>
    <w:qFormat/>
    <w:rPr>
      <w:rFonts w:ascii="仿宋_GB2312" w:eastAsia="仿宋_GB2312"/>
      <w:sz w:val="24"/>
      <w:szCs w:val="24"/>
    </w:rPr>
  </w:style>
  <w:style w:type="paragraph" w:styleId="1093" w:customStyle="1">
    <w:name w:val="批注框文本1"/>
    <w:basedOn w:val="866"/>
    <w:link w:val="1094"/>
    <w:uiPriority w:val="0"/>
    <w:qFormat/>
    <w:rPr>
      <w:sz w:val="18"/>
      <w:szCs w:val="18"/>
    </w:rPr>
  </w:style>
  <w:style w:type="character" w:styleId="1094" w:customStyle="1">
    <w:name w:val="批注框文本 字符"/>
    <w:link w:val="1093"/>
    <w:uiPriority w:val="0"/>
    <w:qFormat/>
    <w:rPr>
      <w:sz w:val="18"/>
      <w:szCs w:val="18"/>
    </w:rPr>
  </w:style>
  <w:style w:type="paragraph" w:styleId="1095" w:customStyle="1">
    <w:name w:val="页脚1"/>
    <w:basedOn w:val="866"/>
    <w:link w:val="1096"/>
    <w:uiPriority w:val="99"/>
    <w:qFormat/>
    <w:pPr>
      <w:jc w:val="left"/>
      <w:tabs>
        <w:tab w:val="center" w:pos="4153" w:leader="none"/>
        <w:tab w:val="right" w:pos="8306" w:leader="none"/>
      </w:tabs>
    </w:pPr>
    <w:rPr>
      <w:rFonts w:ascii="宋体"/>
      <w:sz w:val="18"/>
      <w:szCs w:val="20"/>
    </w:rPr>
  </w:style>
  <w:style w:type="character" w:styleId="1096" w:customStyle="1">
    <w:name w:val="页脚 字符"/>
    <w:link w:val="1095"/>
    <w:uiPriority w:val="99"/>
    <w:qFormat/>
    <w:rPr>
      <w:rFonts w:ascii="宋体" w:eastAsia="宋体"/>
      <w:sz w:val="18"/>
      <w:lang w:val="en-US" w:eastAsia="zh-CN" w:bidi="ar-SA"/>
    </w:rPr>
  </w:style>
  <w:style w:type="paragraph" w:styleId="1097" w:customStyle="1">
    <w:name w:val="页眉1"/>
    <w:basedOn w:val="866"/>
    <w:link w:val="1098"/>
    <w:uiPriority w:val="0"/>
    <w:qFormat/>
    <w:pPr>
      <w:jc w:val="center"/>
      <w:tabs>
        <w:tab w:val="center" w:pos="4153" w:leader="none"/>
        <w:tab w:val="right" w:pos="8306" w:leader="none"/>
      </w:tabs>
      <w:pBdr>
        <w:bottom w:val="single" w:color="000000" w:sz="6" w:space="1"/>
      </w:pBdr>
    </w:pPr>
    <w:rPr>
      <w:sz w:val="18"/>
      <w:szCs w:val="18"/>
    </w:rPr>
  </w:style>
  <w:style w:type="character" w:styleId="1098" w:customStyle="1">
    <w:name w:val="页眉 字符"/>
    <w:link w:val="1097"/>
    <w:uiPriority w:val="0"/>
    <w:qFormat/>
    <w:rPr>
      <w:rFonts w:eastAsia="宋体"/>
      <w:sz w:val="18"/>
      <w:szCs w:val="18"/>
      <w:lang w:val="en-US" w:eastAsia="zh-CN" w:bidi="ar-SA"/>
    </w:rPr>
  </w:style>
  <w:style w:type="paragraph" w:styleId="1099" w:customStyle="1">
    <w:name w:val="目录 11"/>
    <w:basedOn w:val="866"/>
    <w:next w:val="866"/>
    <w:uiPriority w:val="39"/>
    <w:qFormat/>
    <w:pPr>
      <w:spacing w:line="300" w:lineRule="auto"/>
      <w:tabs>
        <w:tab w:val="left" w:pos="1050" w:leader="none"/>
        <w:tab w:val="right" w:pos="8937" w:leader="dot"/>
      </w:tabs>
    </w:pPr>
    <w:rPr>
      <w:rFonts w:ascii="宋体" w:hAnsi="宋体"/>
      <w:b/>
      <w:sz w:val="24"/>
    </w:rPr>
  </w:style>
  <w:style w:type="paragraph" w:styleId="1100" w:customStyle="1">
    <w:name w:val="目录 41"/>
    <w:basedOn w:val="866"/>
    <w:next w:val="866"/>
    <w:uiPriority w:val="0"/>
    <w:qFormat/>
    <w:pPr>
      <w:ind w:left="1260"/>
    </w:pPr>
  </w:style>
  <w:style w:type="paragraph" w:styleId="1101" w:customStyle="1">
    <w:name w:val="目录 61"/>
    <w:basedOn w:val="866"/>
    <w:next w:val="866"/>
    <w:uiPriority w:val="0"/>
    <w:qFormat/>
    <w:pPr>
      <w:ind w:left="2100"/>
    </w:pPr>
  </w:style>
  <w:style w:type="paragraph" w:styleId="1102" w:customStyle="1">
    <w:name w:val="正文文本缩进 31"/>
    <w:basedOn w:val="866"/>
    <w:link w:val="1103"/>
    <w:uiPriority w:val="0"/>
    <w:qFormat/>
    <w:pPr>
      <w:ind w:left="720" w:firstLine="480"/>
      <w:jc w:val="left"/>
      <w:spacing w:before="120" w:line="22" w:lineRule="atLeast"/>
    </w:pPr>
    <w:rPr>
      <w:rFonts w:ascii="宋体"/>
      <w:sz w:val="24"/>
      <w:szCs w:val="20"/>
    </w:rPr>
  </w:style>
  <w:style w:type="character" w:styleId="1103" w:customStyle="1">
    <w:name w:val="正文文本缩进 3 字符"/>
    <w:link w:val="1102"/>
    <w:uiPriority w:val="0"/>
    <w:qFormat/>
    <w:rPr>
      <w:rFonts w:ascii="宋体"/>
      <w:sz w:val="24"/>
    </w:rPr>
  </w:style>
  <w:style w:type="paragraph" w:styleId="1104" w:customStyle="1">
    <w:name w:val="目录 21"/>
    <w:basedOn w:val="866"/>
    <w:next w:val="866"/>
    <w:uiPriority w:val="39"/>
    <w:qFormat/>
    <w:pPr>
      <w:ind w:left="420"/>
      <w:spacing w:line="312" w:lineRule="auto"/>
      <w:tabs>
        <w:tab w:val="right" w:pos="8937" w:leader="dot"/>
      </w:tabs>
    </w:pPr>
  </w:style>
  <w:style w:type="paragraph" w:styleId="1105" w:customStyle="1">
    <w:name w:val="目录 91"/>
    <w:basedOn w:val="866"/>
    <w:next w:val="866"/>
    <w:uiPriority w:val="0"/>
    <w:qFormat/>
    <w:pPr>
      <w:ind w:left="3360"/>
    </w:pPr>
  </w:style>
  <w:style w:type="paragraph" w:styleId="1106" w:customStyle="1">
    <w:name w:val="HTML 预设格式1"/>
    <w:basedOn w:val="866"/>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7" w:customStyle="1">
    <w:name w:val="HTML 预设格式 字符"/>
    <w:link w:val="1106"/>
    <w:uiPriority w:val="0"/>
    <w:qFormat/>
    <w:rPr>
      <w:rFonts w:ascii="宋体" w:hAnsi="宋体" w:cs="宋体"/>
      <w:sz w:val="24"/>
      <w:szCs w:val="24"/>
    </w:rPr>
  </w:style>
  <w:style w:type="paragraph" w:styleId="1108" w:customStyle="1">
    <w:name w:val="普通(网站)1"/>
    <w:basedOn w:val="866"/>
    <w:uiPriority w:val="99"/>
    <w:unhideWhenUsed/>
    <w:qFormat/>
    <w:pPr>
      <w:jc w:val="left"/>
      <w:spacing w:before="100" w:beforeAutospacing="1" w:after="100" w:afterAutospacing="1"/>
      <w:widowControl/>
    </w:pPr>
    <w:rPr>
      <w:rFonts w:ascii="宋体" w:hAnsi="宋体" w:cs="宋体"/>
      <w:sz w:val="24"/>
    </w:rPr>
  </w:style>
  <w:style w:type="paragraph" w:styleId="1109" w:customStyle="1">
    <w:name w:val="索引 11"/>
    <w:basedOn w:val="866"/>
    <w:next w:val="866"/>
    <w:uiPriority w:val="0"/>
    <w:qFormat/>
    <w:rPr>
      <w:szCs w:val="20"/>
    </w:rPr>
  </w:style>
  <w:style w:type="paragraph" w:styleId="1110" w:customStyle="1">
    <w:name w:val="标题1"/>
    <w:basedOn w:val="866"/>
    <w:link w:val="1111"/>
    <w:uiPriority w:val="0"/>
    <w:qFormat/>
    <w:pPr>
      <w:jc w:val="center"/>
      <w:outlineLvl w:val="0"/>
    </w:pPr>
    <w:rPr>
      <w:b/>
      <w:sz w:val="32"/>
      <w:szCs w:val="20"/>
    </w:rPr>
  </w:style>
  <w:style w:type="character" w:styleId="1111" w:customStyle="1">
    <w:name w:val="标题 字符"/>
    <w:link w:val="1110"/>
    <w:uiPriority w:val="0"/>
    <w:qFormat/>
    <w:rPr>
      <w:b/>
      <w:sz w:val="32"/>
    </w:rPr>
  </w:style>
  <w:style w:type="paragraph" w:styleId="1112" w:customStyle="1">
    <w:name w:val="批注主题1"/>
    <w:basedOn w:val="1074"/>
    <w:next w:val="1074"/>
    <w:link w:val="1113"/>
    <w:uiPriority w:val="0"/>
    <w:qFormat/>
    <w:rPr>
      <w:b/>
      <w:bCs/>
    </w:rPr>
  </w:style>
  <w:style w:type="character" w:styleId="1113" w:customStyle="1">
    <w:name w:val="批注主题 字符"/>
    <w:link w:val="1112"/>
    <w:uiPriority w:val="0"/>
    <w:qFormat/>
    <w:rPr>
      <w:rFonts w:ascii="Times New Roman" w:hAnsi="Times New Roman" w:eastAsia="宋体" w:cs="Times New Roman"/>
      <w:b/>
      <w:bCs/>
      <w:sz w:val="21"/>
      <w:szCs w:val="24"/>
      <w:lang w:val="en-US" w:eastAsia="zh-CN" w:bidi="ar-SA"/>
    </w:rPr>
  </w:style>
  <w:style w:type="paragraph" w:styleId="1114" w:customStyle="1">
    <w:name w:val="正文首行缩进 21"/>
    <w:basedOn w:val="1080"/>
    <w:link w:val="1115"/>
    <w:uiPriority w:val="0"/>
    <w:qFormat/>
    <w:pPr>
      <w:ind w:left="420" w:firstLine="420"/>
      <w:spacing w:after="120" w:line="480" w:lineRule="exact"/>
    </w:pPr>
    <w:rPr>
      <w:szCs w:val="20"/>
    </w:rPr>
  </w:style>
  <w:style w:type="character" w:styleId="1115" w:customStyle="1">
    <w:name w:val="正文首行缩进 2 字符"/>
    <w:link w:val="1114"/>
    <w:uiPriority w:val="0"/>
    <w:qFormat/>
    <w:rPr>
      <w:rFonts w:eastAsia="宋体"/>
      <w:sz w:val="24"/>
      <w:szCs w:val="24"/>
      <w:lang w:val="en-US" w:eastAsia="zh-CN" w:bidi="ar-SA"/>
    </w:rPr>
  </w:style>
  <w:style w:type="table" w:styleId="1116" w:customStyle="1">
    <w:name w:val="网格型1"/>
    <w:basedOn w:val="1059"/>
    <w:uiPriority w:val="39"/>
    <w:qFormat/>
    <w:tblPr/>
  </w:style>
  <w:style w:type="table" w:styleId="1117" w:customStyle="1">
    <w:name w:val="中等深浅网格 1 - 着色 2"/>
    <w:basedOn w:val="1059"/>
    <w:uiPriority w:val="0"/>
    <w:qFormat/>
    <w:rPr>
      <w:sz w:val="21"/>
      <w:szCs w:val="24"/>
    </w:rPr>
    <w:tblPr/>
  </w:style>
  <w:style w:type="character" w:styleId="1118" w:customStyle="1">
    <w:name w:val="要点1"/>
    <w:link w:val="866"/>
    <w:uiPriority w:val="0"/>
    <w:qFormat/>
    <w:rPr>
      <w:b/>
      <w:bCs/>
    </w:rPr>
  </w:style>
  <w:style w:type="character" w:styleId="1119" w:customStyle="1">
    <w:name w:val="页码1"/>
    <w:link w:val="866"/>
    <w:uiPriority w:val="0"/>
    <w:qFormat/>
  </w:style>
  <w:style w:type="character" w:styleId="1120" w:customStyle="1">
    <w:name w:val="访问过的超链接"/>
    <w:link w:val="866"/>
    <w:uiPriority w:val="0"/>
    <w:qFormat/>
    <w:rPr>
      <w:color w:val="800080"/>
      <w:u w:val="single"/>
    </w:rPr>
  </w:style>
  <w:style w:type="character" w:styleId="1121" w:customStyle="1">
    <w:name w:val="强调1"/>
    <w:link w:val="866"/>
    <w:uiPriority w:val="0"/>
    <w:qFormat/>
    <w:rPr>
      <w:color w:val="cc0033"/>
    </w:rPr>
  </w:style>
  <w:style w:type="character" w:styleId="1122" w:customStyle="1">
    <w:name w:val="超链接1"/>
    <w:link w:val="866"/>
    <w:uiPriority w:val="99"/>
    <w:qFormat/>
    <w:rPr>
      <w:color w:val="0000ff"/>
      <w:u w:val="single"/>
    </w:rPr>
  </w:style>
  <w:style w:type="character" w:styleId="1123" w:customStyle="1">
    <w:name w:val="批注引用1"/>
    <w:link w:val="866"/>
    <w:uiPriority w:val="0"/>
    <w:qFormat/>
    <w:rPr>
      <w:sz w:val="21"/>
      <w:szCs w:val="21"/>
    </w:rPr>
  </w:style>
  <w:style w:type="character" w:styleId="1124" w:customStyle="1">
    <w:name w:val="HTML 引文1"/>
    <w:link w:val="866"/>
    <w:uiPriority w:val="0"/>
    <w:qFormat/>
    <w:rPr>
      <w:i/>
      <w:iCs/>
    </w:rPr>
  </w:style>
  <w:style w:type="character" w:styleId="1125" w:customStyle="1">
    <w:name w:val="批注文字 字符"/>
    <w:link w:val="866"/>
    <w:uiPriority w:val="99"/>
    <w:qFormat/>
    <w:rPr>
      <w:rFonts w:ascii="Times New Roman" w:hAnsi="Times New Roman" w:eastAsia="宋体" w:cs="Times New Roman"/>
      <w:sz w:val="24"/>
      <w:lang w:val="en-US" w:eastAsia="zh-CN" w:bidi="ar-SA"/>
    </w:rPr>
  </w:style>
  <w:style w:type="character" w:styleId="1126" w:customStyle="1">
    <w:name w:val="c21"/>
    <w:link w:val="866"/>
    <w:uiPriority w:val="0"/>
    <w:qFormat/>
    <w:rPr>
      <w:rFonts w:ascii="ˎ̥" w:hAnsi="ˎ̥"/>
      <w:color w:val="000000"/>
      <w:sz w:val="20"/>
      <w:szCs w:val="20"/>
      <w:u w:val="none"/>
    </w:rPr>
  </w:style>
  <w:style w:type="character" w:styleId="1127" w:customStyle="1">
    <w:name w:val="title4"/>
    <w:link w:val="866"/>
    <w:uiPriority w:val="0"/>
    <w:qFormat/>
    <w:rPr>
      <w:b/>
      <w:bCs/>
      <w:color w:val="1d87b3"/>
      <w:sz w:val="15"/>
      <w:szCs w:val="15"/>
    </w:rPr>
  </w:style>
  <w:style w:type="character" w:styleId="1128" w:customStyle="1">
    <w:name w:val="标题 2 Char Char"/>
    <w:link w:val="866"/>
    <w:uiPriority w:val="0"/>
    <w:qFormat/>
    <w:rPr>
      <w:rFonts w:ascii="Arial" w:hAnsi="Arial" w:eastAsia="黑体"/>
      <w:b/>
      <w:bCs/>
      <w:sz w:val="32"/>
      <w:szCs w:val="32"/>
      <w:lang w:val="en-US" w:eastAsia="zh-CN" w:bidi="ar-SA"/>
    </w:rPr>
  </w:style>
  <w:style w:type="character" w:styleId="1129" w:customStyle="1">
    <w:name w:val="black1"/>
    <w:link w:val="866"/>
    <w:uiPriority w:val="0"/>
    <w:qFormat/>
    <w:rPr>
      <w:color w:val="000000"/>
    </w:rPr>
  </w:style>
  <w:style w:type="character" w:styleId="1130" w:customStyle="1">
    <w:name w:val="street-address"/>
    <w:link w:val="866"/>
    <w:uiPriority w:val="0"/>
    <w:qFormat/>
  </w:style>
  <w:style w:type="character" w:styleId="1131" w:customStyle="1">
    <w:name w:val="locality"/>
    <w:link w:val="866"/>
    <w:uiPriority w:val="0"/>
    <w:qFormat/>
  </w:style>
  <w:style w:type="character" w:styleId="1132" w:customStyle="1">
    <w:name w:val="正文文本缩进 Char1"/>
    <w:link w:val="1133"/>
    <w:uiPriority w:val="0"/>
    <w:qFormat/>
    <w:rPr>
      <w:rFonts w:ascii="宋体" w:hAnsi="宋体" w:eastAsia="宋体"/>
      <w:sz w:val="24"/>
      <w:szCs w:val="24"/>
      <w:lang w:bidi="ar-SA"/>
    </w:rPr>
  </w:style>
  <w:style w:type="paragraph" w:styleId="1133" w:customStyle="1">
    <w:name w:val="正文文本缩进1"/>
    <w:basedOn w:val="866"/>
    <w:link w:val="1132"/>
    <w:uiPriority w:val="0"/>
    <w:qFormat/>
    <w:pPr>
      <w:ind w:firstLine="480"/>
      <w:spacing w:line="480" w:lineRule="exact"/>
    </w:pPr>
    <w:rPr>
      <w:rFonts w:ascii="宋体" w:hAnsi="宋体"/>
      <w:sz w:val="24"/>
    </w:rPr>
  </w:style>
  <w:style w:type="character" w:styleId="1134" w:customStyle="1">
    <w:name w:val="Char Char11"/>
    <w:link w:val="866"/>
    <w:uiPriority w:val="0"/>
    <w:qFormat/>
    <w:rPr>
      <w:rFonts w:ascii="宋体" w:eastAsia="宋体"/>
      <w:b/>
      <w:sz w:val="24"/>
      <w:u w:val="single"/>
      <w:lang w:val="en-US" w:eastAsia="zh-CN" w:bidi="ar-SA"/>
    </w:rPr>
  </w:style>
  <w:style w:type="character" w:styleId="1135" w:customStyle="1">
    <w:name w:val="txt"/>
    <w:link w:val="866"/>
    <w:uiPriority w:val="0"/>
    <w:qFormat/>
  </w:style>
  <w:style w:type="character" w:styleId="1136" w:customStyle="1">
    <w:name w:val="正文缩进 Char Char"/>
    <w:link w:val="1137"/>
    <w:uiPriority w:val="0"/>
    <w:qFormat/>
    <w:rPr>
      <w:rFonts w:ascii="宋体" w:eastAsia="宋体"/>
      <w:color w:val="000000"/>
      <w:sz w:val="28"/>
      <w:lang w:bidi="ar-SA"/>
    </w:rPr>
  </w:style>
  <w:style w:type="paragraph" w:styleId="1137" w:customStyle="1">
    <w:name w:val="正文缩进1"/>
    <w:basedOn w:val="866"/>
    <w:link w:val="1136"/>
    <w:uiPriority w:val="0"/>
    <w:qFormat/>
    <w:pPr>
      <w:ind w:firstLine="567"/>
      <w:spacing w:line="480" w:lineRule="exact"/>
      <w:widowControl/>
    </w:pPr>
    <w:rPr>
      <w:rFonts w:ascii="宋体"/>
      <w:color w:val="000000"/>
      <w:sz w:val="28"/>
      <w:szCs w:val="20"/>
    </w:rPr>
  </w:style>
  <w:style w:type="character" w:styleId="1138" w:customStyle="1">
    <w:name w:val="普通文字1 Char1"/>
    <w:link w:val="866"/>
    <w:uiPriority w:val="0"/>
    <w:qFormat/>
    <w:rPr>
      <w:rFonts w:ascii="宋体" w:hAnsi="Courier New" w:eastAsia="宋体"/>
      <w:sz w:val="21"/>
      <w:lang w:val="en-US" w:eastAsia="zh-CN" w:bidi="ar-SA"/>
    </w:rPr>
  </w:style>
  <w:style w:type="character" w:styleId="1139" w:customStyle="1">
    <w:name w:val="chanpin1"/>
    <w:link w:val="866"/>
    <w:uiPriority w:val="0"/>
    <w:qFormat/>
    <w:rPr>
      <w:rFonts w:ascii="ˎ̥" w:hAnsi="ˎ̥"/>
      <w:color w:val="000000"/>
      <w:sz w:val="20"/>
      <w:szCs w:val="20"/>
      <w:u w:val="none"/>
    </w:rPr>
  </w:style>
  <w:style w:type="character" w:styleId="1140" w:customStyle="1">
    <w:name w:val="列出段落 字符"/>
    <w:link w:val="1141"/>
    <w:uiPriority w:val="34"/>
    <w:qFormat/>
    <w:rPr>
      <w:rFonts w:ascii="Calibri" w:hAnsi="Calibri" w:eastAsia="宋体"/>
      <w:sz w:val="21"/>
      <w:szCs w:val="22"/>
      <w:lang w:val="en-US" w:eastAsia="zh-CN" w:bidi="ar-SA"/>
    </w:rPr>
  </w:style>
  <w:style w:type="paragraph" w:styleId="1141" w:customStyle="1">
    <w:name w:val="列出段落"/>
    <w:basedOn w:val="866"/>
    <w:link w:val="1140"/>
    <w:uiPriority w:val="34"/>
    <w:qFormat/>
    <w:pPr>
      <w:ind w:firstLine="420"/>
    </w:pPr>
    <w:rPr>
      <w:rFonts w:ascii="Calibri" w:hAnsi="Calibri"/>
      <w:szCs w:val="22"/>
    </w:rPr>
  </w:style>
  <w:style w:type="character" w:styleId="1142" w:customStyle="1">
    <w:name w:val="标题 3 Char Char"/>
    <w:link w:val="866"/>
    <w:uiPriority w:val="0"/>
    <w:qFormat/>
    <w:rPr>
      <w:rFonts w:eastAsia="宋体"/>
      <w:b/>
      <w:bCs/>
      <w:sz w:val="32"/>
      <w:szCs w:val="32"/>
      <w:lang w:val="en-US" w:eastAsia="zh-CN" w:bidi="ar-SA"/>
    </w:rPr>
  </w:style>
  <w:style w:type="character" w:styleId="1143" w:customStyle="1">
    <w:name w:val="段1 Char"/>
    <w:link w:val="866"/>
    <w:uiPriority w:val="0"/>
    <w:qFormat/>
    <w:rPr>
      <w:rFonts w:ascii="宋体" w:eastAsia="宋体"/>
      <w:sz w:val="24"/>
      <w:lang w:val="en-US" w:eastAsia="zh-CN" w:bidi="ar-SA"/>
    </w:rPr>
  </w:style>
  <w:style w:type="character" w:styleId="1144" w:customStyle="1">
    <w:name w:val="chanpin拷贝"/>
    <w:link w:val="866"/>
    <w:uiPriority w:val="0"/>
    <w:qFormat/>
  </w:style>
  <w:style w:type="character" w:styleId="1145" w:customStyle="1">
    <w:name w:val="纯文本 Char1"/>
    <w:link w:val="866"/>
    <w:uiPriority w:val="99"/>
    <w:qFormat/>
    <w:rPr>
      <w:rFonts w:ascii="宋体" w:hAnsi="Courier New" w:eastAsia="宋体"/>
      <w:sz w:val="21"/>
      <w:lang w:val="en-US" w:eastAsia="zh-CN" w:bidi="ar-SA"/>
    </w:rPr>
  </w:style>
  <w:style w:type="character" w:styleId="1146" w:customStyle="1">
    <w:name w:val="apple-style-span"/>
    <w:link w:val="866"/>
    <w:uiPriority w:val="0"/>
    <w:qFormat/>
    <w:rPr>
      <w:rFonts w:cs="Times New Roman"/>
    </w:rPr>
  </w:style>
  <w:style w:type="paragraph" w:styleId="1147" w:customStyle="1">
    <w:name w:val="二级条标题"/>
    <w:basedOn w:val="1148"/>
    <w:next w:val="86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8" w:customStyle="1">
    <w:name w:val="一级条标题"/>
    <w:basedOn w:val="1149"/>
    <w:next w:val="866"/>
    <w:uiPriority w:val="0"/>
    <w:qFormat/>
    <w:pPr>
      <w:numPr>
        <w:ilvl w:val="1"/>
      </w:numPr>
      <w:ind w:left="0" w:hanging="840"/>
      <w:tabs>
        <w:tab w:val="left" w:pos="360" w:leader="none"/>
        <w:tab w:val="left" w:pos="840" w:leader="none"/>
      </w:tabs>
      <w:outlineLvl w:val="1"/>
    </w:pPr>
  </w:style>
  <w:style w:type="paragraph" w:styleId="1149" w:customStyle="1">
    <w:name w:val="章标题"/>
    <w:next w:val="86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50" w:customStyle="1">
    <w:name w:val="font7"/>
    <w:basedOn w:val="866"/>
    <w:uiPriority w:val="0"/>
    <w:qFormat/>
    <w:pPr>
      <w:jc w:val="left"/>
      <w:spacing w:before="100" w:beforeAutospacing="1" w:after="100" w:afterAutospacing="1"/>
      <w:widowControl/>
    </w:pPr>
    <w:rPr>
      <w:rFonts w:eastAsia="Arial Unicode MS"/>
      <w:b/>
      <w:bCs/>
      <w:color w:val="000000"/>
      <w:sz w:val="20"/>
      <w:szCs w:val="20"/>
    </w:rPr>
  </w:style>
  <w:style w:type="paragraph" w:styleId="1151" w:customStyle="1">
    <w:name w:val="字元 字元"/>
    <w:basedOn w:val="866"/>
    <w:uiPriority w:val="0"/>
    <w:qFormat/>
    <w:rPr>
      <w:rFonts w:ascii="Tahoma" w:hAnsi="Tahoma"/>
      <w:sz w:val="24"/>
      <w:szCs w:val="20"/>
    </w:rPr>
  </w:style>
  <w:style w:type="paragraph" w:styleId="1152" w:customStyle="1">
    <w:name w:val="Char3 Char Char Char"/>
    <w:basedOn w:val="866"/>
    <w:uiPriority w:val="0"/>
    <w:qFormat/>
    <w:rPr>
      <w:rFonts w:ascii="Tahoma" w:hAnsi="Tahoma"/>
      <w:sz w:val="24"/>
      <w:szCs w:val="20"/>
    </w:rPr>
  </w:style>
  <w:style w:type="paragraph" w:styleId="1153" w:customStyle="1">
    <w:name w:val="font6"/>
    <w:basedOn w:val="866"/>
    <w:uiPriority w:val="0"/>
    <w:qFormat/>
    <w:pPr>
      <w:jc w:val="left"/>
      <w:spacing w:before="100" w:beforeAutospacing="1" w:after="100" w:afterAutospacing="1"/>
      <w:widowControl/>
    </w:pPr>
    <w:rPr>
      <w:rFonts w:ascii="宋体" w:hAnsi="宋体" w:cs="宋体"/>
      <w:sz w:val="20"/>
      <w:szCs w:val="20"/>
    </w:rPr>
  </w:style>
  <w:style w:type="paragraph" w:styleId="1154" w:customStyle="1">
    <w:name w:val="项目编号2"/>
    <w:basedOn w:val="1155"/>
    <w:uiPriority w:val="0"/>
    <w:qFormat/>
    <w:pPr>
      <w:numPr>
        <w:numId w:val="2"/>
      </w:numPr>
    </w:pPr>
  </w:style>
  <w:style w:type="paragraph" w:styleId="1155" w:customStyle="1">
    <w:name w:val="项目编号1"/>
    <w:basedOn w:val="866"/>
    <w:uiPriority w:val="0"/>
    <w:qFormat/>
    <w:pPr>
      <w:numPr>
        <w:ilvl w:val="0"/>
        <w:numId w:val="3"/>
      </w:numPr>
      <w:spacing w:before="100" w:beforeAutospacing="1" w:after="100" w:afterAutospacing="1" w:line="360" w:lineRule="auto"/>
    </w:pPr>
    <w:rPr>
      <w:sz w:val="24"/>
    </w:rPr>
  </w:style>
  <w:style w:type="paragraph" w:styleId="1156" w:customStyle="1">
    <w:name w:val="图中文字"/>
    <w:basedOn w:val="866"/>
    <w:uiPriority w:val="0"/>
    <w:qFormat/>
    <w:pPr>
      <w:jc w:val="center"/>
      <w:spacing w:line="0" w:lineRule="atLeast"/>
    </w:pPr>
    <w:rPr>
      <w:sz w:val="24"/>
      <w:szCs w:val="20"/>
    </w:rPr>
  </w:style>
  <w:style w:type="paragraph" w:styleId="1157" w:customStyle="1">
    <w:name w:val="xl46"/>
    <w:basedOn w:val="86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customStyle="1">
    <w:name w:val="xl25"/>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customStyle="1">
    <w:name w:val="Char2"/>
    <w:basedOn w:val="866"/>
    <w:uiPriority w:val="0"/>
    <w:qFormat/>
    <w:rPr>
      <w:rFonts w:ascii="Tahoma" w:hAnsi="Tahoma"/>
      <w:sz w:val="24"/>
      <w:szCs w:val="20"/>
    </w:rPr>
  </w:style>
  <w:style w:type="paragraph" w:styleId="1160" w:customStyle="1">
    <w:name w:val="xl35"/>
    <w:basedOn w:val="8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40"/>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xl52"/>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3" w:customStyle="1">
    <w:name w:val="xl43"/>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4" w:customStyle="1">
    <w:name w:val="background1"/>
    <w:basedOn w:val="866"/>
    <w:uiPriority w:val="0"/>
    <w:qFormat/>
    <w:pPr>
      <w:jc w:val="left"/>
      <w:spacing w:before="100" w:beforeAutospacing="1" w:after="100" w:afterAutospacing="1"/>
      <w:widowControl/>
    </w:pPr>
    <w:rPr>
      <w:rFonts w:ascii="宋体" w:hAnsi="宋体" w:cs="宋体"/>
      <w:sz w:val="24"/>
    </w:rPr>
  </w:style>
  <w:style w:type="paragraph" w:styleId="1165" w:customStyle="1">
    <w:name w:val="Char Char Char Char Char Char Char"/>
    <w:basedOn w:val="866"/>
    <w:uiPriority w:val="0"/>
    <w:qFormat/>
    <w:pPr>
      <w:ind w:firstLine="200"/>
      <w:spacing w:line="360" w:lineRule="auto"/>
    </w:pPr>
    <w:rPr>
      <w:rFonts w:eastAsia="仿宋_GB2312"/>
      <w:sz w:val="24"/>
    </w:rPr>
  </w:style>
  <w:style w:type="paragraph" w:styleId="1166" w:customStyle="1">
    <w:name w:val="xl38"/>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7" w:customStyle="1">
    <w:name w:val="xl36"/>
    <w:basedOn w:val="86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正文 + 宋体"/>
    <w:basedOn w:val="866"/>
    <w:uiPriority w:val="0"/>
    <w:qFormat/>
    <w:pPr>
      <w:ind w:left="360" w:hanging="360"/>
      <w:jc w:val="left"/>
      <w:widowControl/>
    </w:pPr>
    <w:rPr>
      <w:rFonts w:ascii="宋体" w:hAnsi="宋体" w:cs="宋体"/>
      <w:b/>
      <w:bCs/>
      <w:color w:val="000000"/>
      <w:sz w:val="18"/>
      <w:szCs w:val="18"/>
    </w:rPr>
  </w:style>
  <w:style w:type="paragraph" w:styleId="1169" w:customStyle="1">
    <w:name w:val="正文列项_数字"/>
    <w:basedOn w:val="86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0" w:customStyle="1">
    <w:name w:val="xl39"/>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37"/>
    <w:basedOn w:val="86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xl32"/>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customStyle="1">
    <w:name w:val="font8"/>
    <w:basedOn w:val="866"/>
    <w:uiPriority w:val="0"/>
    <w:qFormat/>
    <w:pPr>
      <w:jc w:val="left"/>
      <w:spacing w:before="100" w:beforeAutospacing="1" w:after="100" w:afterAutospacing="1"/>
      <w:widowControl/>
    </w:pPr>
    <w:rPr>
      <w:sz w:val="36"/>
      <w:szCs w:val="36"/>
    </w:rPr>
  </w:style>
  <w:style w:type="paragraph" w:styleId="1174" w:customStyle="1">
    <w:name w:val="Char"/>
    <w:basedOn w:val="866"/>
    <w:uiPriority w:val="0"/>
    <w:qFormat/>
    <w:pPr>
      <w:tabs>
        <w:tab w:val="left" w:pos="360" w:leader="none"/>
      </w:tabs>
    </w:pPr>
    <w:rPr>
      <w:sz w:val="24"/>
    </w:rPr>
  </w:style>
  <w:style w:type="paragraph" w:styleId="1175" w:customStyle="1">
    <w:name w:val="Char Char Char Char Char Char Char Char Char Char Char Char Char Char Char Char"/>
    <w:basedOn w:val="866"/>
    <w:uiPriority w:val="0"/>
    <w:qFormat/>
    <w:pPr>
      <w:jc w:val="center"/>
      <w:spacing w:after="160" w:line="240" w:lineRule="exact"/>
      <w:widowControl/>
    </w:pPr>
    <w:rPr>
      <w:rFonts w:ascii="宋体" w:hAnsi="宋体"/>
      <w:b/>
      <w:sz w:val="30"/>
      <w:szCs w:val="30"/>
      <w:lang w:eastAsia="en-US"/>
    </w:rPr>
  </w:style>
  <w:style w:type="paragraph" w:styleId="1176" w:customStyle="1">
    <w:name w:val="xl45"/>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7" w:customStyle="1">
    <w:name w:val="Char Char1 Char Char Char Char Char Char"/>
    <w:basedOn w:val="866"/>
    <w:uiPriority w:val="0"/>
    <w:qFormat/>
    <w:pPr>
      <w:jc w:val="left"/>
      <w:spacing w:after="160" w:line="240" w:lineRule="exact"/>
      <w:widowControl/>
    </w:pPr>
    <w:rPr>
      <w:rFonts w:ascii="Verdana" w:hAnsi="Verdana" w:eastAsia="仿宋_GB2312"/>
      <w:sz w:val="24"/>
      <w:szCs w:val="20"/>
      <w:lang w:eastAsia="en-US"/>
    </w:rPr>
  </w:style>
  <w:style w:type="paragraph" w:styleId="1178" w:customStyle="1">
    <w:name w:val="Char Char1"/>
    <w:basedOn w:val="1072"/>
    <w:uiPriority w:val="0"/>
    <w:qFormat/>
    <w:rPr>
      <w:rFonts w:ascii="Tahoma" w:hAnsi="Tahoma"/>
      <w:sz w:val="24"/>
    </w:rPr>
  </w:style>
  <w:style w:type="paragraph" w:styleId="1179" w:customStyle="1">
    <w:name w:val="xl26"/>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0" w:customStyle="1">
    <w:name w:val="xl30"/>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customStyle="1">
    <w:name w:val="xl41"/>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2" w:customStyle="1">
    <w:name w:val="样式 宋体 五号 行距: 单倍行距"/>
    <w:basedOn w:val="866"/>
    <w:uiPriority w:val="0"/>
    <w:qFormat/>
    <w:pPr>
      <w:jc w:val="left"/>
    </w:pPr>
    <w:rPr>
      <w:rFonts w:ascii="宋体" w:hAnsi="宋体"/>
      <w:szCs w:val="20"/>
    </w:rPr>
  </w:style>
  <w:style w:type="paragraph" w:styleId="1183" w:customStyle="1">
    <w:name w:val="Char1 Char Char Char1"/>
    <w:basedOn w:val="866"/>
    <w:uiPriority w:val="0"/>
    <w:qFormat/>
    <w:rPr>
      <w:rFonts w:ascii="Tahoma" w:hAnsi="Tahoma" w:cs="仿宋_GB2312"/>
      <w:sz w:val="24"/>
      <w:szCs w:val="28"/>
    </w:rPr>
  </w:style>
  <w:style w:type="paragraph" w:styleId="1184" w:customStyle="1">
    <w:name w:val="四级条标题"/>
    <w:basedOn w:val="1185"/>
    <w:next w:val="866"/>
    <w:uiPriority w:val="0"/>
    <w:qFormat/>
    <w:pPr>
      <w:numPr>
        <w:ilvl w:val="4"/>
      </w:numPr>
      <w:ind w:left="0" w:hanging="840"/>
      <w:tabs>
        <w:tab w:val="left" w:pos="360" w:leader="none"/>
        <w:tab w:val="left" w:pos="840" w:leader="none"/>
      </w:tabs>
      <w:outlineLvl w:val="4"/>
    </w:pPr>
  </w:style>
  <w:style w:type="paragraph" w:styleId="1185" w:customStyle="1">
    <w:name w:val="三级条标题"/>
    <w:basedOn w:val="1147"/>
    <w:next w:val="866"/>
    <w:uiPriority w:val="0"/>
    <w:qFormat/>
    <w:pPr>
      <w:numPr>
        <w:ilvl w:val="3"/>
        <w:numId w:val="1"/>
      </w:numPr>
      <w:ind w:left="0" w:hanging="840"/>
      <w:outlineLvl w:val="3"/>
    </w:pPr>
  </w:style>
  <w:style w:type="paragraph" w:styleId="118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87" w:customStyle="1">
    <w:name w:val="样式 标题 2 + 宋体 五号 行距: 单倍行距"/>
    <w:basedOn w:val="1049"/>
    <w:uiPriority w:val="0"/>
    <w:qFormat/>
    <w:pPr>
      <w:numPr>
        <w:ilvl w:val="1"/>
        <w:numId w:val="4"/>
      </w:numPr>
      <w:jc w:val="left"/>
      <w:spacing w:before="260" w:after="260" w:line="240" w:lineRule="auto"/>
    </w:pPr>
    <w:rPr>
      <w:rFonts w:ascii="宋体" w:hAnsi="宋体" w:eastAsia="宋体"/>
      <w:bCs/>
      <w:sz w:val="21"/>
    </w:rPr>
  </w:style>
  <w:style w:type="paragraph" w:styleId="1188" w:customStyle="1">
    <w:name w:val="List Paragraph1"/>
    <w:basedOn w:val="866"/>
    <w:uiPriority w:val="0"/>
    <w:qFormat/>
    <w:pPr>
      <w:ind w:firstLine="420"/>
    </w:pPr>
    <w:rPr>
      <w:rFonts w:ascii="Calibri" w:hAnsi="Calibri"/>
      <w:szCs w:val="22"/>
    </w:rPr>
  </w:style>
  <w:style w:type="paragraph" w:styleId="1189" w:customStyle="1">
    <w:name w:val="项目符号1"/>
    <w:basedOn w:val="1190"/>
    <w:uiPriority w:val="0"/>
    <w:qFormat/>
    <w:pPr>
      <w:ind w:left="-25" w:firstLine="0"/>
    </w:pPr>
  </w:style>
  <w:style w:type="paragraph" w:styleId="1190" w:customStyle="1">
    <w:name w:val="正文文本样式"/>
    <w:basedOn w:val="866"/>
    <w:uiPriority w:val="0"/>
    <w:qFormat/>
    <w:pPr>
      <w:ind w:firstLine="482"/>
      <w:spacing w:line="360" w:lineRule="auto"/>
    </w:pPr>
    <w:rPr>
      <w:rFonts w:cs="宋体"/>
      <w:sz w:val="24"/>
      <w:szCs w:val="20"/>
    </w:rPr>
  </w:style>
  <w:style w:type="paragraph" w:styleId="1191" w:customStyle="1">
    <w:name w:val="xl27"/>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2" w:customStyle="1">
    <w:name w:val="font5"/>
    <w:basedOn w:val="866"/>
    <w:uiPriority w:val="0"/>
    <w:qFormat/>
    <w:pPr>
      <w:jc w:val="left"/>
      <w:spacing w:before="100" w:beforeAutospacing="1" w:after="100" w:afterAutospacing="1"/>
      <w:widowControl/>
    </w:pPr>
    <w:rPr>
      <w:rFonts w:ascii="宋体" w:hAnsi="宋体" w:cs="宋体"/>
      <w:sz w:val="18"/>
      <w:szCs w:val="18"/>
    </w:rPr>
  </w:style>
  <w:style w:type="paragraph" w:styleId="1193" w:customStyle="1">
    <w:name w:val="五级条标题"/>
    <w:basedOn w:val="1184"/>
    <w:next w:val="866"/>
    <w:uiPriority w:val="0"/>
    <w:qFormat/>
    <w:pPr>
      <w:numPr>
        <w:ilvl w:val="5"/>
      </w:numPr>
      <w:ind w:left="0" w:hanging="840"/>
      <w:outlineLvl w:val="5"/>
    </w:pPr>
  </w:style>
  <w:style w:type="paragraph" w:styleId="1194" w:customStyle="1">
    <w:name w:val="xl49"/>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5" w:customStyle="1">
    <w:name w:val="文档正文"/>
    <w:basedOn w:val="866"/>
    <w:uiPriority w:val="0"/>
    <w:qFormat/>
    <w:pPr>
      <w:spacing w:before="120" w:after="120" w:line="180" w:lineRule="auto"/>
    </w:pPr>
    <w:rPr>
      <w:rFonts w:ascii="Arial" w:hAnsi="Arial"/>
      <w:szCs w:val="20"/>
    </w:rPr>
  </w:style>
  <w:style w:type="paragraph" w:styleId="1196" w:customStyle="1">
    <w:name w:val="xl33"/>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7" w:customStyle="1">
    <w:name w:val="xl42"/>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8" w:customStyle="1">
    <w:name w:val="Char Char Char1 Char"/>
    <w:basedOn w:val="866"/>
    <w:uiPriority w:val="0"/>
    <w:qFormat/>
    <w:rPr>
      <w:rFonts w:ascii="Tahoma" w:hAnsi="Tahoma"/>
      <w:sz w:val="24"/>
      <w:szCs w:val="20"/>
    </w:rPr>
  </w:style>
  <w:style w:type="paragraph" w:styleId="1199" w:customStyle="1">
    <w:name w:val="xl44"/>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0" w:customStyle="1">
    <w:name w:val="1名"/>
    <w:basedOn w:val="866"/>
    <w:uiPriority w:val="0"/>
    <w:qFormat/>
    <w:pPr>
      <w:numPr>
        <w:ilvl w:val="0"/>
        <w:numId w:val="5"/>
      </w:numPr>
      <w:spacing w:before="120"/>
    </w:pPr>
    <w:rPr>
      <w:rFonts w:ascii="宋体"/>
      <w:sz w:val="28"/>
      <w:szCs w:val="20"/>
    </w:rPr>
  </w:style>
  <w:style w:type="paragraph" w:styleId="1201" w:customStyle="1">
    <w:name w:val="font9"/>
    <w:basedOn w:val="86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2" w:customStyle="1">
    <w:name w:val="Char Char Char1 Char1"/>
    <w:basedOn w:val="866"/>
    <w:uiPriority w:val="0"/>
    <w:qFormat/>
    <w:rPr>
      <w:rFonts w:ascii="Tahoma" w:hAnsi="Tahoma"/>
      <w:sz w:val="24"/>
      <w:szCs w:val="20"/>
    </w:rPr>
  </w:style>
  <w:style w:type="paragraph" w:styleId="1203" w:customStyle="1">
    <w:name w:val="Char Char Char Char Char Char Char Char Char Char"/>
    <w:basedOn w:val="866"/>
    <w:uiPriority w:val="0"/>
    <w:qFormat/>
  </w:style>
  <w:style w:type="paragraph" w:styleId="1204" w:customStyle="1">
    <w:name w:val="Char Char1 Char Char Char Char Char Char Char Char"/>
    <w:basedOn w:val="866"/>
    <w:uiPriority w:val="0"/>
    <w:qFormat/>
    <w:pPr>
      <w:jc w:val="left"/>
      <w:spacing w:after="160" w:line="240" w:lineRule="exact"/>
      <w:widowControl/>
    </w:pPr>
    <w:rPr>
      <w:rFonts w:ascii="Verdana" w:hAnsi="Verdana"/>
      <w:sz w:val="20"/>
      <w:szCs w:val="20"/>
      <w:lang w:eastAsia="en-US"/>
    </w:rPr>
  </w:style>
  <w:style w:type="paragraph" w:styleId="1205" w:customStyle="1">
    <w:name w:val="Char1"/>
    <w:basedOn w:val="866"/>
    <w:uiPriority w:val="0"/>
    <w:qFormat/>
    <w:pPr>
      <w:tabs>
        <w:tab w:val="left" w:pos="360" w:leader="none"/>
      </w:tabs>
    </w:pPr>
    <w:rPr>
      <w:sz w:val="24"/>
    </w:rPr>
  </w:style>
  <w:style w:type="paragraph" w:styleId="1206" w:customStyle="1">
    <w:name w:val="正文列项_字母"/>
    <w:basedOn w:val="86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7" w:customStyle="1">
    <w:name w:val="xl28"/>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xl47"/>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customStyle="1">
    <w:name w:val="默认段落字体 Para Char Char Char Char"/>
    <w:basedOn w:val="866"/>
    <w:uiPriority w:val="0"/>
    <w:qFormat/>
    <w:rPr>
      <w:rFonts w:ascii="Arial" w:hAnsi="Arial" w:cs="Arial"/>
      <w:szCs w:val="21"/>
    </w:rPr>
  </w:style>
  <w:style w:type="paragraph" w:styleId="1210" w:customStyle="1">
    <w:name w:val="xl48"/>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1" w:customStyle="1">
    <w:name w:val="xl31"/>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2" w:customStyle="1">
    <w:name w:val="xl53"/>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customStyle="1">
    <w:name w:val="Char Char Char"/>
    <w:basedOn w:val="866"/>
    <w:uiPriority w:val="0"/>
    <w:qFormat/>
    <w:rPr>
      <w:rFonts w:ascii="Tahoma" w:hAnsi="Tahoma"/>
      <w:sz w:val="24"/>
      <w:szCs w:val="20"/>
    </w:rPr>
  </w:style>
  <w:style w:type="paragraph" w:styleId="1214" w:customStyle="1">
    <w:name w:val="xl50"/>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5" w:customStyle="1">
    <w:name w:val="缺省文本"/>
    <w:basedOn w:val="866"/>
    <w:uiPriority w:val="0"/>
    <w:qFormat/>
    <w:pPr>
      <w:jc w:val="left"/>
    </w:pPr>
    <w:rPr>
      <w:sz w:val="24"/>
    </w:rPr>
  </w:style>
  <w:style w:type="paragraph" w:styleId="1216" w:customStyle="1">
    <w:name w:val="Char Char Char1"/>
    <w:basedOn w:val="866"/>
    <w:uiPriority w:val="0"/>
    <w:qFormat/>
    <w:rPr>
      <w:rFonts w:ascii="Tahoma" w:hAnsi="Tahoma"/>
      <w:sz w:val="24"/>
      <w:szCs w:val="20"/>
    </w:rPr>
  </w:style>
  <w:style w:type="paragraph" w:styleId="1217" w:customStyle="1">
    <w:name w:val="Char Char Char Char Char Char Char1"/>
    <w:basedOn w:val="866"/>
    <w:uiPriority w:val="0"/>
    <w:qFormat/>
    <w:pPr>
      <w:ind w:firstLine="200"/>
      <w:spacing w:line="360" w:lineRule="auto"/>
    </w:pPr>
    <w:rPr>
      <w:rFonts w:eastAsia="仿宋_GB2312"/>
      <w:sz w:val="24"/>
    </w:rPr>
  </w:style>
  <w:style w:type="paragraph" w:styleId="1218" w:customStyle="1">
    <w:name w:val="xl51"/>
    <w:basedOn w:val="8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样式2"/>
    <w:basedOn w:val="1109"/>
    <w:uiPriority w:val="0"/>
    <w:qFormat/>
    <w:pPr>
      <w:jc w:val="center"/>
      <w:spacing w:line="360" w:lineRule="auto"/>
    </w:pPr>
    <w:rPr>
      <w:sz w:val="24"/>
    </w:rPr>
  </w:style>
  <w:style w:type="paragraph" w:styleId="1220" w:customStyle="1">
    <w:name w:val="xl24"/>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customStyle="1">
    <w:name w:val="xl29"/>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2" w:customStyle="1">
    <w:name w:val="正文 + 楷体_GB2312"/>
    <w:basedOn w:val="866"/>
    <w:uiPriority w:val="0"/>
    <w:qFormat/>
    <w:pPr>
      <w:jc w:val="left"/>
      <w:widowControl/>
    </w:pPr>
    <w:rPr>
      <w:rFonts w:ascii="楷体_GB2312" w:eastAsia="楷体_GB2312" w:cs="Arial"/>
      <w:sz w:val="24"/>
    </w:rPr>
  </w:style>
  <w:style w:type="paragraph" w:styleId="1223" w:customStyle="1">
    <w:name w:val="xl34"/>
    <w:basedOn w:val="8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4" w:customStyle="1">
    <w:name w:val="1 Char Char Char Char"/>
    <w:basedOn w:val="866"/>
    <w:uiPriority w:val="0"/>
    <w:qFormat/>
    <w:rPr>
      <w:rFonts w:ascii="Tahoma" w:hAnsi="Tahoma"/>
      <w:sz w:val="24"/>
      <w:szCs w:val="20"/>
    </w:rPr>
  </w:style>
  <w:style w:type="paragraph" w:styleId="1225"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26" w:customStyle="1">
    <w:name w:val="列出段落1"/>
    <w:basedOn w:val="866"/>
    <w:uiPriority w:val="0"/>
    <w:qFormat/>
    <w:pPr>
      <w:ind w:firstLine="420"/>
    </w:pPr>
    <w:rPr>
      <w:rFonts w:ascii="Calibri" w:hAnsi="Calibri"/>
      <w:szCs w:val="22"/>
    </w:rPr>
  </w:style>
  <w:style w:type="paragraph" w:styleId="1227" w:customStyle="1">
    <w:name w:val="default"/>
    <w:basedOn w:val="866"/>
    <w:uiPriority w:val="0"/>
    <w:qFormat/>
    <w:pPr>
      <w:jc w:val="left"/>
      <w:spacing w:before="100" w:beforeAutospacing="1" w:after="100" w:afterAutospacing="1"/>
      <w:widowControl/>
    </w:pPr>
    <w:rPr>
      <w:rFonts w:ascii="宋体" w:hAnsi="宋体" w:cs="宋体"/>
      <w:sz w:val="24"/>
    </w:rPr>
  </w:style>
  <w:style w:type="paragraph" w:styleId="1228" w:customStyle="1">
    <w:name w:val="字元 字元1"/>
    <w:basedOn w:val="866"/>
    <w:uiPriority w:val="0"/>
    <w:qFormat/>
    <w:rPr>
      <w:rFonts w:ascii="Tahoma" w:hAnsi="Tahoma"/>
      <w:sz w:val="24"/>
      <w:szCs w:val="20"/>
    </w:rPr>
  </w:style>
  <w:style w:type="paragraph" w:styleId="1229" w:customStyle="1">
    <w:name w:val="_Style 160"/>
    <w:uiPriority w:val="0"/>
    <w:qFormat/>
    <w:rPr>
      <w:rFonts w:hint="default" w:ascii="Times New Roman" w:hAnsi="Times New Roman" w:eastAsia="宋体" w:cs="Times New Roman"/>
      <w:sz w:val="21"/>
      <w:szCs w:val="24"/>
      <w:lang w:val="en-US" w:eastAsia="zh-CN" w:bidi="ar-SA"/>
    </w:rPr>
  </w:style>
  <w:style w:type="paragraph" w:styleId="1230" w:customStyle="1">
    <w:name w:val="项目编号3"/>
    <w:basedOn w:val="1190"/>
    <w:uiPriority w:val="0"/>
    <w:qFormat/>
    <w:pPr>
      <w:numPr>
        <w:ilvl w:val="0"/>
        <w:numId w:val="6"/>
      </w:numPr>
    </w:pPr>
  </w:style>
  <w:style w:type="paragraph" w:styleId="1231" w:customStyle="1">
    <w:name w:val="Char21"/>
    <w:basedOn w:val="866"/>
    <w:uiPriority w:val="0"/>
    <w:qFormat/>
    <w:rPr>
      <w:rFonts w:ascii="Tahoma" w:hAnsi="Tahoma"/>
      <w:sz w:val="24"/>
      <w:szCs w:val="20"/>
    </w:rPr>
  </w:style>
  <w:style w:type="paragraph" w:styleId="1232" w:customStyle="1">
    <w:name w:val="表格文字"/>
    <w:basedOn w:val="1080"/>
    <w:uiPriority w:val="0"/>
    <w:qFormat/>
    <w:pPr>
      <w:ind w:firstLine="0"/>
      <w:spacing w:before="20" w:after="20" w:line="240" w:lineRule="auto"/>
    </w:pPr>
    <w:rPr>
      <w:rFonts w:ascii="Century Gothic" w:hAnsi="Century Gothic"/>
      <w:sz w:val="20"/>
      <w:szCs w:val="20"/>
    </w:rPr>
  </w:style>
  <w:style w:type="paragraph" w:styleId="1233" w:customStyle="1">
    <w:name w:val="Char Char Char Char Char Char Char Char Char Char1"/>
    <w:basedOn w:val="866"/>
    <w:uiPriority w:val="0"/>
    <w:qFormat/>
    <w:rPr>
      <w:rFonts w:ascii="宋体" w:hAnsi="宋体" w:cs="Courier New"/>
      <w:sz w:val="32"/>
      <w:szCs w:val="32"/>
    </w:rPr>
  </w:style>
  <w:style w:type="paragraph" w:styleId="1234" w:customStyle="1">
    <w:name w:val="正文文本样式 加粗"/>
    <w:basedOn w:val="1190"/>
    <w:uiPriority w:val="0"/>
    <w:qFormat/>
    <w:rPr>
      <w:b/>
    </w:rPr>
  </w:style>
  <w:style w:type="paragraph" w:styleId="1235" w:customStyle="1">
    <w:name w:val="Char2 Char Char Char Char Char Char"/>
    <w:basedOn w:val="866"/>
    <w:uiPriority w:val="0"/>
    <w:qFormat/>
    <w:pPr>
      <w:jc w:val="center"/>
      <w:spacing w:line="400" w:lineRule="exact"/>
      <w:widowControl/>
    </w:pPr>
  </w:style>
  <w:style w:type="paragraph" w:styleId="1236" w:customStyle="1">
    <w:name w:val="Char Char4"/>
    <w:basedOn w:val="866"/>
    <w:uiPriority w:val="0"/>
    <w:qFormat/>
    <w:pPr>
      <w:jc w:val="center"/>
      <w:spacing w:line="400" w:lineRule="exact"/>
      <w:widowControl/>
    </w:pPr>
  </w:style>
  <w:style w:type="paragraph" w:styleId="1237" w:customStyle="1">
    <w:name w:val="Char3 Char Char Char1"/>
    <w:basedOn w:val="866"/>
    <w:uiPriority w:val="0"/>
    <w:qFormat/>
    <w:rPr>
      <w:rFonts w:ascii="Tahoma" w:hAnsi="Tahoma"/>
      <w:sz w:val="24"/>
      <w:szCs w:val="20"/>
    </w:rPr>
  </w:style>
  <w:style w:type="paragraph" w:styleId="1238"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22222222222222"/>
    <w:basedOn w:val="866"/>
    <w:uiPriority w:val="0"/>
    <w:qFormat/>
    <w:pPr>
      <w:ind w:firstLine="480"/>
      <w:jc w:val="left"/>
      <w:spacing w:line="360" w:lineRule="auto"/>
      <w:widowControl/>
    </w:pPr>
    <w:rPr>
      <w:color w:val="ff0000"/>
      <w:sz w:val="24"/>
      <w:szCs w:val="20"/>
    </w:rPr>
  </w:style>
  <w:style w:type="character" w:styleId="1240" w:customStyle="1">
    <w:name w:val="中等深浅网格 1 - 强调文字颜色 2 Char"/>
    <w:link w:val="1241"/>
    <w:uiPriority w:val="0"/>
    <w:qFormat/>
    <w:rPr>
      <w:sz w:val="21"/>
      <w:szCs w:val="24"/>
      <w:lang w:val="zh-CN" w:eastAsia="zh-CN" w:bidi="ar-SA"/>
    </w:rPr>
  </w:style>
  <w:style w:type="paragraph" w:styleId="1241" w:customStyle="1">
    <w:name w:val="1"/>
    <w:link w:val="1240"/>
    <w:uiPriority w:val="0"/>
    <w:qFormat/>
    <w:rPr>
      <w:rFonts w:hint="default" w:ascii="Times New Roman" w:hAnsi="Times New Roman" w:eastAsia="宋体" w:cs="Times New Roman"/>
      <w:sz w:val="21"/>
      <w:szCs w:val="24"/>
      <w:lang w:val="zh-CN" w:eastAsia="zh-CN" w:bidi="ar-SA"/>
    </w:rPr>
  </w:style>
  <w:style w:type="paragraph" w:styleId="1242" w:customStyle="1">
    <w:name w:val="图文"/>
    <w:basedOn w:val="866"/>
    <w:uiPriority w:val="0"/>
    <w:qFormat/>
    <w:pPr>
      <w:spacing w:after="50" w:line="360" w:lineRule="auto"/>
    </w:pPr>
    <w:rPr>
      <w:sz w:val="24"/>
    </w:rPr>
  </w:style>
  <w:style w:type="paragraph" w:styleId="1243" w:customStyle="1">
    <w:name w:val="xl23"/>
    <w:basedOn w:val="866"/>
    <w:uiPriority w:val="0"/>
    <w:qFormat/>
    <w:pPr>
      <w:spacing w:before="100" w:beforeAutospacing="1" w:after="100" w:afterAutospacing="1" w:line="360" w:lineRule="auto"/>
      <w:widowControl/>
    </w:pPr>
    <w:rPr>
      <w:sz w:val="24"/>
      <w:szCs w:val="20"/>
    </w:rPr>
  </w:style>
  <w:style w:type="paragraph" w:styleId="1244" w:customStyle="1">
    <w:name w:val="正文表格"/>
    <w:basedOn w:val="866"/>
    <w:link w:val="1245"/>
    <w:uiPriority w:val="0"/>
    <w:qFormat/>
    <w:pPr>
      <w:jc w:val="left"/>
    </w:pPr>
    <w:rPr>
      <w:rFonts w:ascii="宋体" w:hAnsi="宋体"/>
      <w:color w:val="000000"/>
      <w:szCs w:val="21"/>
    </w:rPr>
  </w:style>
  <w:style w:type="character" w:styleId="1245" w:customStyle="1">
    <w:name w:val="正文表格 Char"/>
    <w:link w:val="1244"/>
    <w:uiPriority w:val="0"/>
    <w:qFormat/>
    <w:rPr>
      <w:rFonts w:ascii="宋体" w:hAnsi="宋体"/>
      <w:color w:val="000000"/>
      <w:sz w:val="21"/>
      <w:szCs w:val="21"/>
    </w:rPr>
  </w:style>
  <w:style w:type="paragraph" w:styleId="1246" w:customStyle="1">
    <w:name w:val="正文重点"/>
    <w:basedOn w:val="866"/>
    <w:link w:val="1247"/>
    <w:uiPriority w:val="0"/>
    <w:qFormat/>
    <w:pPr>
      <w:ind w:firstLine="482"/>
      <w:jc w:val="left"/>
      <w:spacing w:line="360" w:lineRule="auto"/>
    </w:pPr>
    <w:rPr>
      <w:b/>
      <w:sz w:val="24"/>
      <w:szCs w:val="20"/>
    </w:rPr>
  </w:style>
  <w:style w:type="character" w:styleId="1247" w:customStyle="1">
    <w:name w:val="正文重点 Char"/>
    <w:link w:val="1246"/>
    <w:uiPriority w:val="0"/>
    <w:qFormat/>
    <w:rPr>
      <w:b/>
      <w:sz w:val="24"/>
    </w:rPr>
  </w:style>
  <w:style w:type="paragraph" w:styleId="1248" w:customStyle="1">
    <w:name w:val="标题1-附件"/>
    <w:basedOn w:val="1048"/>
    <w:uiPriority w:val="0"/>
    <w:qFormat/>
    <w:pPr>
      <w:jc w:val="left"/>
    </w:pPr>
    <w:rPr>
      <w:sz w:val="24"/>
      <w:szCs w:val="24"/>
    </w:rPr>
  </w:style>
  <w:style w:type="paragraph" w:styleId="1249" w:customStyle="1">
    <w:name w:val="正文小标题"/>
    <w:basedOn w:val="866"/>
    <w:next w:val="1050"/>
    <w:link w:val="1250"/>
    <w:uiPriority w:val="0"/>
    <w:qFormat/>
    <w:pPr>
      <w:ind w:firstLine="482"/>
      <w:jc w:val="left"/>
      <w:spacing w:before="312" w:after="312"/>
    </w:pPr>
    <w:rPr>
      <w:rFonts w:ascii="宋体" w:hAnsi="宋体"/>
      <w:b/>
      <w:i/>
      <w:color w:val="ff0000"/>
      <w:sz w:val="24"/>
      <w:szCs w:val="20"/>
    </w:rPr>
  </w:style>
  <w:style w:type="character" w:styleId="1250" w:customStyle="1">
    <w:name w:val="正文小标题 Char"/>
    <w:link w:val="1249"/>
    <w:uiPriority w:val="0"/>
    <w:qFormat/>
    <w:rPr>
      <w:rFonts w:ascii="宋体" w:hAnsi="宋体"/>
      <w:b/>
      <w:i/>
      <w:color w:val="ff0000"/>
      <w:sz w:val="24"/>
    </w:rPr>
  </w:style>
  <w:style w:type="paragraph" w:styleId="1251" w:customStyle="1">
    <w:name w:val="正文大标题"/>
    <w:basedOn w:val="1249"/>
    <w:next w:val="1050"/>
    <w:link w:val="1252"/>
    <w:uiPriority w:val="0"/>
    <w:qFormat/>
    <w:pPr>
      <w:jc w:val="center"/>
    </w:pPr>
    <w:rPr>
      <w:i w:val="0"/>
      <w:color w:val="000000"/>
      <w:sz w:val="28"/>
      <w:szCs w:val="21"/>
    </w:rPr>
  </w:style>
  <w:style w:type="character" w:styleId="1252" w:customStyle="1">
    <w:name w:val="正文大标题 Char"/>
    <w:link w:val="1251"/>
    <w:uiPriority w:val="0"/>
    <w:qFormat/>
    <w:rPr>
      <w:rFonts w:ascii="宋体" w:hAnsi="宋体"/>
      <w:b/>
      <w:color w:val="000000"/>
      <w:sz w:val="28"/>
      <w:szCs w:val="21"/>
    </w:rPr>
  </w:style>
  <w:style w:type="paragraph" w:styleId="1253" w:customStyle="1">
    <w:name w:val="注释"/>
    <w:basedOn w:val="866"/>
    <w:link w:val="1254"/>
    <w:uiPriority w:val="0"/>
    <w:qFormat/>
    <w:pPr>
      <w:ind w:left="420" w:hanging="420"/>
      <w:jc w:val="left"/>
    </w:pPr>
    <w:rPr>
      <w:rFonts w:ascii="宋体" w:hAnsi="宋体"/>
      <w:szCs w:val="21"/>
    </w:rPr>
  </w:style>
  <w:style w:type="character" w:styleId="1254" w:customStyle="1">
    <w:name w:val="注释 Char"/>
    <w:link w:val="1253"/>
    <w:uiPriority w:val="0"/>
    <w:qFormat/>
    <w:rPr>
      <w:rFonts w:ascii="宋体" w:hAnsi="宋体"/>
      <w:sz w:val="21"/>
      <w:szCs w:val="21"/>
    </w:rPr>
  </w:style>
  <w:style w:type="paragraph" w:styleId="1255" w:customStyle="1">
    <w:name w:val="正文须知-1级"/>
    <w:basedOn w:val="866"/>
    <w:next w:val="866"/>
    <w:uiPriority w:val="0"/>
    <w:qFormat/>
    <w:pPr>
      <w:numPr>
        <w:ilvl w:val="0"/>
        <w:numId w:val="7"/>
      </w:numPr>
      <w:spacing w:line="300" w:lineRule="auto"/>
    </w:pPr>
    <w:rPr>
      <w:rFonts w:ascii="宋体" w:hAnsi="Calibri"/>
      <w:sz w:val="24"/>
      <w:szCs w:val="21"/>
    </w:rPr>
  </w:style>
  <w:style w:type="paragraph" w:styleId="1256" w:customStyle="1">
    <w:name w:val="正文须知-2级"/>
    <w:basedOn w:val="866"/>
    <w:uiPriority w:val="0"/>
    <w:qFormat/>
    <w:pPr>
      <w:numPr>
        <w:ilvl w:val="1"/>
        <w:numId w:val="7"/>
      </w:numPr>
      <w:spacing w:line="300" w:lineRule="auto"/>
    </w:pPr>
    <w:rPr>
      <w:rFonts w:ascii="宋体" w:hAnsi="Calibri"/>
      <w:sz w:val="24"/>
      <w:szCs w:val="21"/>
    </w:rPr>
  </w:style>
  <w:style w:type="paragraph" w:styleId="1257" w:customStyle="1">
    <w:name w:val="正文须知-3级"/>
    <w:basedOn w:val="866"/>
    <w:uiPriority w:val="0"/>
    <w:qFormat/>
    <w:pPr>
      <w:numPr>
        <w:ilvl w:val="2"/>
        <w:numId w:val="7"/>
      </w:numPr>
      <w:ind w:hanging="355"/>
      <w:spacing w:line="300" w:lineRule="auto"/>
    </w:pPr>
    <w:rPr>
      <w:rFonts w:ascii="宋体" w:hAnsi="Calibri"/>
      <w:sz w:val="24"/>
      <w:szCs w:val="21"/>
    </w:rPr>
  </w:style>
  <w:style w:type="character" w:styleId="1258" w:customStyle="1">
    <w:name w:val="纯文本 字符"/>
    <w:link w:val="866"/>
    <w:uiPriority w:val="99"/>
    <w:qFormat/>
    <w:rPr>
      <w:rFonts w:ascii="宋体" w:hAnsi="Courier New" w:eastAsia="宋体" w:cs="Times New Roman"/>
      <w:sz w:val="21"/>
      <w:szCs w:val="21"/>
      <w:lang w:val="en-US" w:eastAsia="zh-CN" w:bidi="ar-SA"/>
    </w:rPr>
  </w:style>
  <w:style w:type="paragraph" w:styleId="1259" w:customStyle="1">
    <w:name w:val="表格1"/>
    <w:basedOn w:val="866"/>
    <w:uiPriority w:val="0"/>
    <w:qFormat/>
    <w:pPr>
      <w:ind w:firstLine="480"/>
      <w:jc w:val="center"/>
    </w:pPr>
    <w:rPr>
      <w:sz w:val="24"/>
      <w:szCs w:val="20"/>
    </w:rPr>
  </w:style>
  <w:style w:type="character" w:styleId="1260" w:customStyle="1">
    <w:name w:val="纯文本 字符1"/>
    <w:link w:val="866"/>
    <w:uiPriority w:val="0"/>
    <w:qFormat/>
    <w:rPr>
      <w:rFonts w:ascii="宋体" w:hAnsi="Courier New"/>
    </w:rPr>
  </w:style>
  <w:style w:type="character" w:styleId="1261" w:customStyle="1">
    <w:name w:val="bjh-p"/>
    <w:link w:val="866"/>
    <w:uiPriority w:val="0"/>
    <w:qFormat/>
  </w:style>
  <w:style w:type="paragraph" w:styleId="1262" w:customStyle="1">
    <w:name w:val="无标题条"/>
    <w:next w:val="866"/>
    <w:uiPriority w:val="0"/>
    <w:qFormat/>
    <w:pPr>
      <w:jc w:val="both"/>
    </w:pPr>
    <w:rPr>
      <w:rFonts w:hint="default" w:ascii="Times New Roman" w:hAnsi="Times New Roman" w:eastAsia="宋体" w:cs="Times New Roman"/>
      <w:sz w:val="21"/>
      <w:lang w:val="en-US" w:eastAsia="zh-CN" w:bidi="ar-SA"/>
    </w:rPr>
  </w:style>
  <w:style w:type="character" w:styleId="1263" w:customStyle="1">
    <w:name w:val="正文格式 Char"/>
    <w:link w:val="1264"/>
    <w:uiPriority w:val="0"/>
    <w:qFormat/>
    <w:rPr>
      <w:rFonts w:ascii="宋体" w:hAnsi="宋体"/>
      <w:sz w:val="24"/>
      <w:szCs w:val="24"/>
      <w:lang w:val="en-GB"/>
    </w:rPr>
  </w:style>
  <w:style w:type="paragraph" w:styleId="1264" w:customStyle="1">
    <w:name w:val="正文格式"/>
    <w:basedOn w:val="866"/>
    <w:link w:val="1263"/>
    <w:uiPriority w:val="0"/>
    <w:qFormat/>
    <w:pPr>
      <w:ind w:firstLine="480"/>
      <w:spacing w:line="360" w:lineRule="auto"/>
    </w:pPr>
    <w:rPr>
      <w:rFonts w:ascii="宋体" w:hAnsi="宋体"/>
      <w:sz w:val="24"/>
      <w:lang w:val="en-GB"/>
    </w:rPr>
  </w:style>
  <w:style w:type="character" w:styleId="1265" w:customStyle="1">
    <w:name w:val="标题 3 Char"/>
    <w:link w:val="866"/>
    <w:uiPriority w:val="0"/>
    <w:qFormat/>
    <w:rPr>
      <w:rFonts w:ascii="宋体" w:eastAsia="宋体"/>
      <w:b/>
      <w:sz w:val="24"/>
      <w:u w:val="single"/>
      <w:lang w:val="en-US" w:eastAsia="zh-CN" w:bidi="ar-SA"/>
    </w:rPr>
  </w:style>
  <w:style w:type="character" w:styleId="1266" w:customStyle="1">
    <w:name w:val="正文缩进 Char"/>
    <w:link w:val="866"/>
    <w:uiPriority w:val="0"/>
    <w:qFormat/>
    <w:rPr>
      <w:rFonts w:ascii="宋体" w:eastAsia="宋体"/>
      <w:sz w:val="24"/>
      <w:szCs w:val="24"/>
      <w:lang w:val="en-US" w:eastAsia="zh-CN" w:bidi="ar-SA"/>
    </w:rPr>
  </w:style>
  <w:style w:type="character" w:styleId="1267" w:customStyle="1">
    <w:name w:val="Char Char111"/>
    <w:link w:val="866"/>
    <w:uiPriority w:val="0"/>
    <w:qFormat/>
    <w:rPr>
      <w:rFonts w:ascii="宋体" w:eastAsia="宋体"/>
      <w:b/>
      <w:sz w:val="24"/>
      <w:u w:val="single"/>
      <w:lang w:val="en-US" w:eastAsia="zh-CN" w:bidi="ar-SA"/>
    </w:rPr>
  </w:style>
  <w:style w:type="character" w:styleId="1268" w:customStyle="1">
    <w:name w:val="正文文本缩进 Char"/>
    <w:link w:val="866"/>
    <w:uiPriority w:val="0"/>
    <w:qFormat/>
    <w:rPr>
      <w:rFonts w:eastAsia="宋体"/>
      <w:sz w:val="24"/>
      <w:szCs w:val="24"/>
      <w:lang w:val="en-US" w:eastAsia="zh-CN" w:bidi="ar-SA"/>
    </w:rPr>
  </w:style>
  <w:style w:type="character" w:styleId="1269" w:customStyle="1">
    <w:name w:val="列出段落 Char"/>
    <w:link w:val="866"/>
    <w:uiPriority w:val="0"/>
    <w:qFormat/>
    <w:rPr>
      <w:rFonts w:ascii="Calibri" w:hAnsi="Calibri" w:eastAsia="宋体"/>
      <w:sz w:val="21"/>
      <w:szCs w:val="22"/>
      <w:lang w:val="en-US" w:eastAsia="zh-CN" w:bidi="ar-SA"/>
    </w:rPr>
  </w:style>
  <w:style w:type="character" w:styleId="1270" w:customStyle="1">
    <w:name w:val="页眉 Char"/>
    <w:link w:val="866"/>
    <w:uiPriority w:val="0"/>
    <w:qFormat/>
    <w:rPr>
      <w:rFonts w:eastAsia="宋体"/>
      <w:sz w:val="18"/>
      <w:szCs w:val="18"/>
      <w:lang w:val="en-US" w:eastAsia="zh-CN" w:bidi="ar-SA"/>
    </w:rPr>
  </w:style>
  <w:style w:type="character" w:styleId="1271" w:customStyle="1">
    <w:name w:val="标题 2 Char"/>
    <w:link w:val="866"/>
    <w:uiPriority w:val="0"/>
    <w:qFormat/>
    <w:rPr>
      <w:rFonts w:ascii="Arial" w:hAnsi="Arial" w:eastAsia="黑体"/>
      <w:b/>
      <w:sz w:val="30"/>
      <w:lang w:val="en-US" w:eastAsia="zh-CN" w:bidi="ar-SA"/>
    </w:rPr>
  </w:style>
  <w:style w:type="paragraph" w:styleId="1272" w:customStyle="1">
    <w:name w:val="字元 字元2"/>
    <w:basedOn w:val="866"/>
    <w:uiPriority w:val="0"/>
    <w:qFormat/>
    <w:rPr>
      <w:rFonts w:ascii="Tahoma" w:hAnsi="Tahoma"/>
      <w:sz w:val="24"/>
      <w:szCs w:val="20"/>
    </w:rPr>
  </w:style>
  <w:style w:type="paragraph" w:styleId="1273" w:customStyle="1">
    <w:name w:val="Char3 Char Char Char2"/>
    <w:basedOn w:val="866"/>
    <w:uiPriority w:val="0"/>
    <w:qFormat/>
    <w:rPr>
      <w:rFonts w:ascii="Tahoma" w:hAnsi="Tahoma"/>
      <w:sz w:val="24"/>
      <w:szCs w:val="20"/>
    </w:rPr>
  </w:style>
  <w:style w:type="paragraph" w:styleId="1274" w:customStyle="1">
    <w:name w:val="正文文本缩进2"/>
    <w:basedOn w:val="866"/>
    <w:uiPriority w:val="0"/>
    <w:qFormat/>
    <w:pPr>
      <w:ind w:firstLine="480"/>
      <w:spacing w:line="480" w:lineRule="exact"/>
    </w:pPr>
    <w:rPr>
      <w:rFonts w:ascii="宋体" w:hAnsi="宋体"/>
      <w:sz w:val="24"/>
      <w:lang w:val="zh-CN" w:eastAsia="zh-CN"/>
    </w:rPr>
  </w:style>
  <w:style w:type="paragraph" w:styleId="1275" w:customStyle="1">
    <w:name w:val="Char3"/>
    <w:basedOn w:val="866"/>
    <w:uiPriority w:val="0"/>
    <w:qFormat/>
    <w:pPr>
      <w:tabs>
        <w:tab w:val="left" w:pos="360" w:leader="none"/>
      </w:tabs>
    </w:pPr>
    <w:rPr>
      <w:sz w:val="24"/>
    </w:rPr>
  </w:style>
  <w:style w:type="paragraph" w:styleId="1276" w:customStyle="1">
    <w:name w:val="Char Char Char Char Char Char Char Char Char Char Char Char Char Char Char Char1"/>
    <w:basedOn w:val="866"/>
    <w:uiPriority w:val="0"/>
    <w:qFormat/>
    <w:pPr>
      <w:jc w:val="center"/>
      <w:spacing w:after="160" w:line="240" w:lineRule="exact"/>
      <w:widowControl/>
    </w:pPr>
    <w:rPr>
      <w:rFonts w:ascii="宋体" w:hAnsi="宋体"/>
      <w:b/>
      <w:sz w:val="30"/>
      <w:szCs w:val="30"/>
      <w:lang w:eastAsia="en-US"/>
    </w:rPr>
  </w:style>
  <w:style w:type="paragraph" w:styleId="1277" w:customStyle="1">
    <w:name w:val="Char Char1 Char Char Char Char Char Char1"/>
    <w:basedOn w:val="866"/>
    <w:uiPriority w:val="0"/>
    <w:qFormat/>
    <w:pPr>
      <w:jc w:val="left"/>
      <w:spacing w:after="160" w:line="240" w:lineRule="exact"/>
      <w:widowControl/>
    </w:pPr>
    <w:rPr>
      <w:rFonts w:ascii="Verdana" w:hAnsi="Verdana" w:eastAsia="仿宋_GB2312"/>
      <w:sz w:val="24"/>
      <w:szCs w:val="20"/>
      <w:lang w:eastAsia="en-US"/>
    </w:rPr>
  </w:style>
  <w:style w:type="paragraph" w:styleId="1278" w:customStyle="1">
    <w:name w:val="列出段落2"/>
    <w:basedOn w:val="866"/>
    <w:uiPriority w:val="0"/>
    <w:qFormat/>
    <w:pPr>
      <w:ind w:firstLine="420"/>
    </w:pPr>
    <w:rPr>
      <w:rFonts w:ascii="Calibri" w:hAnsi="Calibri"/>
      <w:szCs w:val="22"/>
    </w:rPr>
  </w:style>
  <w:style w:type="paragraph" w:styleId="1279" w:customStyle="1">
    <w:name w:val="Char Char Char1 Char2"/>
    <w:basedOn w:val="866"/>
    <w:uiPriority w:val="0"/>
    <w:qFormat/>
    <w:rPr>
      <w:rFonts w:ascii="Tahoma" w:hAnsi="Tahoma"/>
      <w:sz w:val="24"/>
      <w:szCs w:val="20"/>
    </w:rPr>
  </w:style>
  <w:style w:type="paragraph" w:styleId="1280" w:customStyle="1">
    <w:name w:val="Char Char Char2"/>
    <w:basedOn w:val="866"/>
    <w:uiPriority w:val="0"/>
    <w:qFormat/>
    <w:rPr>
      <w:rFonts w:ascii="Tahoma" w:hAnsi="Tahoma"/>
      <w:sz w:val="24"/>
      <w:szCs w:val="20"/>
    </w:rPr>
  </w:style>
  <w:style w:type="paragraph" w:styleId="1281" w:customStyle="1">
    <w:name w:val="Char Char Char Char Char Char Char2"/>
    <w:basedOn w:val="866"/>
    <w:uiPriority w:val="0"/>
    <w:qFormat/>
    <w:pPr>
      <w:ind w:firstLine="200"/>
      <w:spacing w:line="360" w:lineRule="auto"/>
    </w:pPr>
    <w:rPr>
      <w:rFonts w:eastAsia="仿宋_GB2312"/>
      <w:sz w:val="24"/>
    </w:rPr>
  </w:style>
  <w:style w:type="paragraph" w:styleId="1282" w:customStyle="1">
    <w:name w:val="正文缩进2"/>
    <w:basedOn w:val="866"/>
    <w:uiPriority w:val="0"/>
    <w:qFormat/>
    <w:pPr>
      <w:ind w:firstLine="567"/>
      <w:spacing w:line="480" w:lineRule="exact"/>
      <w:widowControl/>
    </w:pPr>
    <w:rPr>
      <w:rFonts w:ascii="宋体"/>
      <w:color w:val="000000"/>
      <w:sz w:val="28"/>
      <w:szCs w:val="20"/>
      <w:lang w:val="zh-CN" w:eastAsia="zh-CN"/>
    </w:rPr>
  </w:style>
  <w:style w:type="paragraph" w:styleId="1283" w:customStyle="1">
    <w:name w:val="Revision"/>
    <w:uiPriority w:val="0"/>
    <w:qFormat/>
    <w:rPr>
      <w:rFonts w:hint="default" w:ascii="Times New Roman" w:hAnsi="Times New Roman" w:eastAsia="宋体" w:cs="Times New Roman"/>
      <w:sz w:val="21"/>
      <w:szCs w:val="24"/>
      <w:lang w:val="en-US" w:eastAsia="zh-CN" w:bidi="ar-SA"/>
    </w:rPr>
  </w:style>
  <w:style w:type="paragraph" w:styleId="1284" w:customStyle="1">
    <w:name w:val="Char22"/>
    <w:basedOn w:val="866"/>
    <w:uiPriority w:val="0"/>
    <w:qFormat/>
    <w:rPr>
      <w:rFonts w:ascii="Tahoma" w:hAnsi="Tahoma"/>
      <w:sz w:val="24"/>
      <w:szCs w:val="20"/>
    </w:rPr>
  </w:style>
  <w:style w:type="paragraph" w:styleId="1285" w:customStyle="1">
    <w:name w:val="Char Char Char Char Char Char Char Char Char Char2"/>
    <w:basedOn w:val="866"/>
    <w:uiPriority w:val="0"/>
    <w:qFormat/>
    <w:rPr>
      <w:rFonts w:ascii="宋体" w:hAnsi="宋体" w:cs="Courier New"/>
      <w:sz w:val="32"/>
      <w:szCs w:val="32"/>
    </w:rPr>
  </w:style>
  <w:style w:type="paragraph" w:styleId="1286" w:customStyle="1">
    <w:name w:val="Char2 Char Char Char Char Char Char1"/>
    <w:basedOn w:val="866"/>
    <w:uiPriority w:val="0"/>
    <w:qFormat/>
    <w:pPr>
      <w:jc w:val="center"/>
      <w:spacing w:line="400" w:lineRule="exact"/>
      <w:widowControl/>
    </w:pPr>
  </w:style>
  <w:style w:type="character" w:styleId="1287" w:customStyle="1">
    <w:name w:val="页脚 Char"/>
    <w:link w:val="866"/>
    <w:uiPriority w:val="0"/>
    <w:qFormat/>
    <w:rPr>
      <w:rFonts w:ascii="宋体" w:eastAsia="宋体"/>
      <w:sz w:val="18"/>
      <w:lang w:val="en-US" w:eastAsia="zh-CN" w:bidi="ar-SA"/>
    </w:rPr>
  </w:style>
  <w:style w:type="paragraph" w:styleId="1288" w:customStyle="1">
    <w:name w:val="Char Char41"/>
    <w:basedOn w:val="866"/>
    <w:uiPriority w:val="0"/>
    <w:qFormat/>
    <w:pPr>
      <w:jc w:val="center"/>
      <w:spacing w:line="400" w:lineRule="exact"/>
      <w:widowControl/>
    </w:pPr>
  </w:style>
  <w:style w:type="character" w:styleId="1289" w:customStyle="1">
    <w:name w:val="批注文字 Char"/>
    <w:link w:val="866"/>
    <w:uiPriority w:val="99"/>
    <w:qFormat/>
    <w:rPr>
      <w:sz w:val="21"/>
      <w:szCs w:val="24"/>
    </w:rPr>
  </w:style>
  <w:style w:type="character" w:styleId="1290" w:customStyle="1">
    <w:name w:val="标题 Char"/>
    <w:link w:val="866"/>
    <w:uiPriority w:val="0"/>
    <w:qFormat/>
    <w:rPr>
      <w:b/>
      <w:sz w:val="32"/>
    </w:rPr>
  </w:style>
  <w:style w:type="paragraph" w:styleId="1291" w:customStyle="1">
    <w:name w:val="图例"/>
    <w:basedOn w:val="866"/>
    <w:uiPriority w:val="0"/>
    <w:qFormat/>
    <w:pPr>
      <w:jc w:val="center"/>
      <w:spacing w:before="120" w:after="120" w:line="360" w:lineRule="auto"/>
    </w:pPr>
    <w:rPr>
      <w:rFonts w:eastAsia="仿宋_GB2312"/>
      <w:b/>
      <w:sz w:val="24"/>
      <w:szCs w:val="20"/>
    </w:rPr>
  </w:style>
  <w:style w:type="table" w:styleId="1292" w:customStyle="1">
    <w:name w:val="Table Normal"/>
    <w:uiPriority w:val="2"/>
    <w:unhideWhenUsed/>
    <w:qFormat/>
    <w:pPr>
      <w:widowControl w:val="off"/>
    </w:pPr>
    <w:rPr>
      <w:rFonts w:ascii="Calibri" w:hAnsi="Calibri"/>
      <w:sz w:val="22"/>
      <w:szCs w:val="22"/>
      <w:lang w:val="en-US" w:eastAsia="en-US" w:bidi="ar-SA"/>
    </w:rPr>
    <w:tblPr/>
  </w:style>
  <w:style w:type="paragraph" w:styleId="1293" w:customStyle="1">
    <w:name w:val="Table Paragraph"/>
    <w:basedOn w:val="866"/>
    <w:uiPriority w:val="1"/>
    <w:qFormat/>
    <w:pPr>
      <w:jc w:val="left"/>
    </w:pPr>
    <w:rPr>
      <w:rFonts w:ascii="宋体" w:hAnsi="宋体" w:cs="宋体"/>
      <w:sz w:val="22"/>
      <w:szCs w:val="22"/>
      <w:lang w:eastAsia="en-US"/>
    </w:rPr>
  </w:style>
  <w:style w:type="paragraph" w:styleId="1294" w:customStyle="1">
    <w:name w:val="成文日期"/>
    <w:basedOn w:val="866"/>
    <w:link w:val="1295"/>
    <w:uiPriority w:val="0"/>
    <w:qFormat/>
    <w:pPr>
      <w:ind w:right="400" w:firstLine="200"/>
      <w:jc w:val="right"/>
      <w:spacing w:line="570" w:lineRule="exact"/>
    </w:pPr>
    <w:rPr>
      <w:rFonts w:ascii="仿宋_GB2312" w:eastAsia="仿宋_GB2312"/>
      <w:sz w:val="32"/>
      <w:szCs w:val="20"/>
    </w:rPr>
  </w:style>
  <w:style w:type="character" w:styleId="1295" w:customStyle="1">
    <w:name w:val="成文日期 Char"/>
    <w:link w:val="1294"/>
    <w:uiPriority w:val="0"/>
    <w:rPr>
      <w:rFonts w:ascii="仿宋_GB2312" w:eastAsia="仿宋_GB2312"/>
      <w:sz w:val="32"/>
    </w:rPr>
  </w:style>
  <w:style w:type="paragraph" w:styleId="1296" w:customStyle="1">
    <w:name w:val="修订"/>
    <w:uiPriority w:val="99"/>
    <w:unhideWhenUsed/>
    <w:rPr>
      <w:rFonts w:hint="default" w:ascii="Times New Roman" w:hAnsi="Times New Roman" w:eastAsia="宋体" w:cs="Times New Roman"/>
      <w:sz w:val="21"/>
      <w:szCs w:val="24"/>
      <w:lang w:val="en-US" w:eastAsia="zh-CN" w:bidi="ar-SA"/>
    </w:rPr>
  </w:style>
  <w:style w:type="character" w:styleId="1297" w:customStyle="1">
    <w:name w:val="正文缩进 字符"/>
    <w:link w:val="866"/>
    <w:uiPriority w:val="99"/>
    <w:qFormat/>
    <w:rPr>
      <w:rFonts w:ascii="宋体" w:hAnsi="Times New Roman" w:eastAsia="宋体" w:cs="Times New Roman"/>
      <w:sz w:val="24"/>
    </w:rPr>
  </w:style>
  <w:style w:type="character" w:styleId="1298" w:customStyle="1">
    <w:name w:val="正文文本 字符"/>
    <w:link w:val="866"/>
    <w:uiPriority w:val="0"/>
    <w:qFormat/>
    <w:rPr>
      <w:rFonts w:ascii="宋体" w:hAnsi="宋体"/>
      <w:sz w:val="24"/>
      <w:szCs w:val="24"/>
    </w:rPr>
  </w:style>
  <w:style w:type="paragraph" w:styleId="1299" w:customStyle="1">
    <w:name w:val="纯文本1"/>
    <w:next w:val="1100"/>
    <w:uiPriority w:val="0"/>
    <w:qFormat/>
    <w:pPr>
      <w:jc w:val="both"/>
      <w:widowControl w:val="off"/>
    </w:pPr>
    <w:rPr>
      <w:rFonts w:hint="default" w:ascii="宋体" w:hAnsi="宋体" w:eastAsia="宋体" w:cs="Times New Roman"/>
      <w:sz w:val="26"/>
      <w:szCs w:val="24"/>
      <w:lang w:val="en-US" w:eastAsia="zh-CN" w:bidi="ar-SA"/>
    </w:rPr>
  </w:style>
  <w:style w:type="paragraph" w:styleId="130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彭艳</cp:lastModifiedBy>
  <cp:revision>6</cp:revision>
  <dcterms:created xsi:type="dcterms:W3CDTF">2022-05-30T08:08:00Z</dcterms:created>
  <dcterms:modified xsi:type="dcterms:W3CDTF">2025-12-18T08:37:02Z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eyJoZGlkIjoiNTlmZjkwOGIyNzNkZDAwZTczOWIxMWU1Nzk4ZjJlMzQiLCJ1c2VySWQiOiIyNzYwMTEwNDMifQ==</vt:lpwstr>
  </property>
  <property fmtid="{D5CDD505-2E9C-101B-9397-08002B2CF9AE}" pid="3" name="KSOProductBuildVer">
    <vt:lpwstr>2052-12.1.0.24034</vt:lpwstr>
  </property>
  <property fmtid="{D5CDD505-2E9C-101B-9397-08002B2CF9AE}" pid="4" name="ICV">
    <vt:lpwstr>41EC79B5F13742A3972F2A4A3DB292B5_13</vt:lpwstr>
  </property>
</Properties>
</file>